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3"/>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3"/>
          <w:rFonts w:hint="eastAsia" w:ascii="宋体" w:hAnsi="宋体" w:eastAsia="宋体" w:cs="宋体"/>
          <w:color w:val="FFFF00"/>
          <w:kern w:val="0"/>
          <w:sz w:val="28"/>
          <w:szCs w:val="28"/>
          <w:highlight w:val="none"/>
          <w:lang w:val="en-US" w:eastAsia="zh-CN"/>
        </w:rPr>
      </w:pPr>
      <w:r>
        <w:rPr>
          <w:rStyle w:val="23"/>
          <w:rFonts w:hint="eastAsia" w:ascii="宋体" w:hAnsi="宋体" w:eastAsia="宋体" w:cs="宋体"/>
          <w:b/>
          <w:sz w:val="28"/>
          <w:szCs w:val="28"/>
          <w:highlight w:val="none"/>
        </w:rPr>
        <w:t>项目编号：</w:t>
      </w:r>
      <w:r>
        <w:rPr>
          <w:rStyle w:val="23"/>
          <w:rFonts w:hint="eastAsia" w:ascii="宋体" w:hAnsi="宋体" w:cs="宋体"/>
          <w:b/>
          <w:color w:val="auto"/>
          <w:sz w:val="28"/>
          <w:szCs w:val="28"/>
          <w:highlight w:val="none"/>
          <w:lang w:eastAsia="zh-CN"/>
        </w:rPr>
        <w:t>SZRFYZB202208-076</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3"/>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3"/>
          <w:rFonts w:hint="eastAsia" w:ascii="宋体" w:hAnsi="宋体" w:eastAsia="宋体" w:cs="宋体"/>
          <w:color w:val="000000"/>
          <w:kern w:val="0"/>
          <w:sz w:val="24"/>
          <w:szCs w:val="24"/>
          <w:highlight w:val="none"/>
        </w:rPr>
      </w:pPr>
    </w:p>
    <w:p>
      <w:pPr>
        <w:pStyle w:val="11"/>
        <w:rPr>
          <w:rStyle w:val="23"/>
          <w:rFonts w:hint="eastAsia" w:ascii="宋体" w:hAnsi="宋体" w:eastAsia="宋体" w:cs="宋体"/>
          <w:color w:val="000000"/>
          <w:kern w:val="0"/>
          <w:sz w:val="24"/>
          <w:szCs w:val="24"/>
          <w:highlight w:val="none"/>
        </w:rPr>
      </w:pPr>
    </w:p>
    <w:p>
      <w:pPr>
        <w:pStyle w:val="11"/>
        <w:rPr>
          <w:rStyle w:val="23"/>
          <w:rFonts w:hint="eastAsia" w:ascii="宋体" w:hAnsi="宋体" w:eastAsia="宋体" w:cs="宋体"/>
          <w:color w:val="000000"/>
          <w:kern w:val="0"/>
          <w:sz w:val="24"/>
          <w:szCs w:val="24"/>
          <w:highlight w:val="none"/>
        </w:rPr>
      </w:pPr>
    </w:p>
    <w:p>
      <w:pPr>
        <w:pStyle w:val="11"/>
        <w:rPr>
          <w:rStyle w:val="23"/>
          <w:rFonts w:hint="eastAsia" w:ascii="宋体" w:hAnsi="宋体" w:eastAsia="宋体" w:cs="宋体"/>
          <w:color w:val="000000"/>
          <w:kern w:val="0"/>
          <w:sz w:val="24"/>
          <w:szCs w:val="24"/>
          <w:highlight w:val="none"/>
        </w:rPr>
      </w:pPr>
    </w:p>
    <w:p>
      <w:pPr>
        <w:pStyle w:val="11"/>
        <w:rPr>
          <w:rStyle w:val="23"/>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3"/>
          <w:rFonts w:hint="eastAsia" w:ascii="宋体" w:hAnsi="宋体" w:eastAsia="宋体" w:cs="宋体"/>
          <w:b/>
          <w:sz w:val="52"/>
          <w:szCs w:val="52"/>
          <w:highlight w:val="none"/>
        </w:rPr>
      </w:pPr>
      <w:r>
        <w:rPr>
          <w:rStyle w:val="23"/>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3"/>
          <w:rFonts w:hint="eastAsia" w:ascii="宋体" w:hAnsi="宋体" w:eastAsia="宋体" w:cs="宋体"/>
          <w:color w:val="000000"/>
          <w:kern w:val="0"/>
          <w:sz w:val="18"/>
          <w:szCs w:val="18"/>
          <w:highlight w:val="none"/>
        </w:rPr>
      </w:pPr>
      <w:r>
        <w:rPr>
          <w:rStyle w:val="23"/>
          <w:rFonts w:hint="eastAsia" w:ascii="宋体" w:hAnsi="宋体" w:cs="宋体"/>
          <w:b/>
          <w:sz w:val="52"/>
          <w:szCs w:val="52"/>
          <w:highlight w:val="none"/>
          <w:lang w:eastAsia="zh-CN"/>
        </w:rPr>
        <w:t>零星家具供货单位遴选项目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3"/>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3"/>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3"/>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3"/>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3"/>
          <w:rFonts w:hint="eastAsia" w:ascii="宋体" w:hAnsi="宋体" w:eastAsia="宋体" w:cs="宋体"/>
          <w:b/>
          <w:color w:val="000000"/>
          <w:kern w:val="0"/>
          <w:sz w:val="52"/>
          <w:szCs w:val="52"/>
          <w:highlight w:val="none"/>
        </w:rPr>
      </w:pPr>
      <w:r>
        <w:rPr>
          <w:rStyle w:val="23"/>
          <w:rFonts w:hint="eastAsia" w:ascii="宋体" w:hAnsi="宋体" w:cs="宋体"/>
          <w:b/>
          <w:color w:val="000000"/>
          <w:kern w:val="0"/>
          <w:sz w:val="52"/>
          <w:szCs w:val="52"/>
          <w:highlight w:val="none"/>
          <w:lang w:eastAsia="zh-CN"/>
        </w:rPr>
        <w:t>招标</w:t>
      </w:r>
      <w:r>
        <w:rPr>
          <w:rStyle w:val="23"/>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3"/>
          <w:rFonts w:hint="eastAsia" w:ascii="宋体" w:hAnsi="宋体" w:eastAsia="宋体" w:cs="宋体"/>
          <w:color w:val="000000"/>
          <w:kern w:val="0"/>
          <w:sz w:val="21"/>
          <w:szCs w:val="21"/>
          <w:highlight w:val="none"/>
        </w:rPr>
      </w:pPr>
    </w:p>
    <w:p>
      <w:pPr>
        <w:pStyle w:val="11"/>
        <w:rPr>
          <w:rFonts w:hint="eastAsia"/>
          <w:highlight w:val="none"/>
        </w:rPr>
      </w:pPr>
    </w:p>
    <w:p>
      <w:pPr>
        <w:keepNext w:val="0"/>
        <w:keepLines w:val="0"/>
        <w:pageBreakBefore w:val="0"/>
        <w:kinsoku/>
        <w:overflowPunct/>
        <w:topLinePunct w:val="0"/>
        <w:bidi w:val="0"/>
        <w:spacing w:line="360" w:lineRule="auto"/>
        <w:ind w:right="0"/>
        <w:jc w:val="both"/>
        <w:textAlignment w:val="auto"/>
        <w:rPr>
          <w:rStyle w:val="23"/>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3"/>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3"/>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right="0"/>
        <w:jc w:val="center"/>
        <w:textAlignment w:val="auto"/>
        <w:rPr>
          <w:rStyle w:val="23"/>
          <w:rFonts w:hint="eastAsia" w:ascii="宋体" w:hAnsi="宋体" w:eastAsia="宋体" w:cs="宋体"/>
          <w:b/>
          <w:sz w:val="28"/>
          <w:szCs w:val="28"/>
          <w:highlight w:val="none"/>
        </w:rPr>
      </w:pPr>
      <w:r>
        <w:rPr>
          <w:rStyle w:val="23"/>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3"/>
          <w:rFonts w:hint="eastAsia" w:ascii="宋体" w:hAnsi="宋体" w:eastAsia="宋体" w:cs="宋体"/>
          <w:b/>
          <w:sz w:val="28"/>
          <w:szCs w:val="28"/>
          <w:highlight w:val="none"/>
        </w:rPr>
        <w:sectPr>
          <w:headerReference r:id="rId5" w:type="first"/>
          <w:headerReference r:id="rId3" w:type="default"/>
          <w:headerReference r:id="rId4" w:type="even"/>
          <w:footerReference r:id="rId6" w:type="even"/>
          <w:pgSz w:w="11906" w:h="16838"/>
          <w:pgMar w:top="1440" w:right="1469" w:bottom="1440" w:left="1440" w:header="851" w:footer="992" w:gutter="0"/>
          <w:cols w:space="720" w:num="1"/>
          <w:titlePg/>
          <w:docGrid w:type="lines" w:linePitch="312" w:charSpace="0"/>
        </w:sectPr>
      </w:pPr>
      <w:r>
        <w:rPr>
          <w:rStyle w:val="23"/>
          <w:rFonts w:hint="eastAsia" w:ascii="宋体" w:hAnsi="宋体" w:eastAsia="宋体" w:cs="宋体"/>
          <w:b/>
          <w:sz w:val="28"/>
          <w:szCs w:val="28"/>
          <w:highlight w:val="none"/>
        </w:rPr>
        <w:t>二〇二</w:t>
      </w:r>
      <w:r>
        <w:rPr>
          <w:rStyle w:val="23"/>
          <w:rFonts w:hint="eastAsia" w:ascii="宋体" w:hAnsi="宋体" w:cs="宋体"/>
          <w:b/>
          <w:sz w:val="28"/>
          <w:szCs w:val="28"/>
          <w:highlight w:val="none"/>
          <w:lang w:eastAsia="zh-CN"/>
        </w:rPr>
        <w:t>二</w:t>
      </w:r>
      <w:r>
        <w:rPr>
          <w:rStyle w:val="23"/>
          <w:rFonts w:hint="eastAsia" w:ascii="宋体" w:hAnsi="宋体" w:eastAsia="宋体" w:cs="宋体"/>
          <w:b/>
          <w:sz w:val="28"/>
          <w:szCs w:val="28"/>
          <w:highlight w:val="none"/>
        </w:rPr>
        <w:t>年</w:t>
      </w:r>
      <w:r>
        <w:rPr>
          <w:rStyle w:val="23"/>
          <w:rFonts w:hint="eastAsia" w:ascii="宋体" w:hAnsi="宋体" w:cs="宋体"/>
          <w:b/>
          <w:sz w:val="28"/>
          <w:szCs w:val="28"/>
          <w:highlight w:val="none"/>
          <w:lang w:eastAsia="zh-CN"/>
        </w:rPr>
        <w:t>八</w:t>
      </w:r>
      <w:r>
        <w:rPr>
          <w:rStyle w:val="23"/>
          <w:rFonts w:hint="eastAsia" w:ascii="宋体" w:hAnsi="宋体" w:eastAsia="宋体" w:cs="宋体"/>
          <w:b/>
          <w:sz w:val="28"/>
          <w:szCs w:val="28"/>
          <w:highlight w:val="none"/>
        </w:rPr>
        <w:t>月</w:t>
      </w:r>
    </w:p>
    <w:p>
      <w:pPr>
        <w:pStyle w:val="2"/>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3"/>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3"/>
          <w:rFonts w:hint="eastAsia" w:ascii="宋体" w:hAnsi="宋体" w:eastAsia="宋体" w:cs="宋体"/>
          <w:sz w:val="21"/>
          <w:szCs w:val="21"/>
          <w:highlight w:val="none"/>
        </w:rPr>
        <w:sectPr>
          <w:pgSz w:w="11906" w:h="16838"/>
          <w:pgMar w:top="1440" w:right="1469" w:bottom="1440" w:left="1440" w:header="851" w:footer="992" w:gutter="0"/>
          <w:cols w:space="720" w:num="1"/>
          <w:titlePg/>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3"/>
          <w:rFonts w:hint="eastAsia" w:ascii="宋体" w:hAnsi="宋体" w:eastAsia="宋体" w:cs="宋体"/>
          <w:b/>
          <w:color w:val="000000"/>
          <w:kern w:val="0"/>
          <w:sz w:val="44"/>
          <w:szCs w:val="44"/>
          <w:highlight w:val="none"/>
        </w:rPr>
      </w:pPr>
      <w:r>
        <w:rPr>
          <w:rStyle w:val="23"/>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3"/>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3"/>
          <w:rFonts w:hint="eastAsia" w:ascii="宋体" w:hAnsi="宋体" w:eastAsia="宋体" w:cs="宋体"/>
          <w:b/>
          <w:color w:val="000000"/>
          <w:kern w:val="0"/>
          <w:sz w:val="28"/>
          <w:szCs w:val="28"/>
          <w:highlight w:val="none"/>
        </w:rPr>
      </w:pPr>
      <w:r>
        <w:rPr>
          <w:rStyle w:val="23"/>
          <w:rFonts w:hint="eastAsia" w:ascii="宋体" w:hAnsi="宋体" w:eastAsia="宋体" w:cs="宋体"/>
          <w:b/>
          <w:color w:val="000000"/>
          <w:kern w:val="0"/>
          <w:sz w:val="28"/>
          <w:szCs w:val="28"/>
          <w:highlight w:val="none"/>
        </w:rPr>
        <w:t>第一</w:t>
      </w:r>
      <w:r>
        <w:rPr>
          <w:rStyle w:val="23"/>
          <w:rFonts w:hint="eastAsia" w:ascii="宋体" w:hAnsi="宋体" w:cs="宋体"/>
          <w:b/>
          <w:color w:val="000000"/>
          <w:kern w:val="0"/>
          <w:sz w:val="28"/>
          <w:szCs w:val="28"/>
          <w:highlight w:val="none"/>
          <w:lang w:eastAsia="zh-CN"/>
        </w:rPr>
        <w:t>章</w:t>
      </w:r>
      <w:r>
        <w:rPr>
          <w:rStyle w:val="23"/>
          <w:rFonts w:hint="eastAsia" w:ascii="宋体" w:hAnsi="宋体" w:eastAsia="宋体" w:cs="宋体"/>
          <w:b/>
          <w:color w:val="000000"/>
          <w:kern w:val="0"/>
          <w:sz w:val="28"/>
          <w:szCs w:val="28"/>
          <w:highlight w:val="none"/>
        </w:rPr>
        <w:t xml:space="preserve">    </w:t>
      </w:r>
      <w:r>
        <w:rPr>
          <w:rStyle w:val="23"/>
          <w:rFonts w:hint="eastAsia" w:ascii="宋体" w:hAnsi="宋体" w:cs="宋体"/>
          <w:b/>
          <w:color w:val="000000"/>
          <w:kern w:val="0"/>
          <w:sz w:val="28"/>
          <w:szCs w:val="28"/>
          <w:highlight w:val="none"/>
          <w:lang w:eastAsia="zh-CN"/>
        </w:rPr>
        <w:t>招标</w:t>
      </w:r>
      <w:r>
        <w:rPr>
          <w:rStyle w:val="23"/>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3"/>
          <w:rFonts w:hint="eastAsia" w:ascii="宋体" w:hAnsi="宋体" w:eastAsia="宋体" w:cs="宋体"/>
          <w:b/>
          <w:color w:val="000000"/>
          <w:kern w:val="0"/>
          <w:sz w:val="28"/>
          <w:szCs w:val="28"/>
          <w:highlight w:val="none"/>
        </w:rPr>
      </w:pPr>
      <w:r>
        <w:rPr>
          <w:rStyle w:val="23"/>
          <w:rFonts w:hint="eastAsia" w:ascii="宋体" w:hAnsi="宋体" w:eastAsia="宋体" w:cs="宋体"/>
          <w:b/>
          <w:color w:val="000000"/>
          <w:kern w:val="0"/>
          <w:sz w:val="28"/>
          <w:szCs w:val="28"/>
          <w:highlight w:val="none"/>
        </w:rPr>
        <w:t>第二</w:t>
      </w:r>
      <w:r>
        <w:rPr>
          <w:rStyle w:val="23"/>
          <w:rFonts w:hint="eastAsia" w:ascii="宋体" w:hAnsi="宋体" w:cs="宋体"/>
          <w:b/>
          <w:color w:val="000000"/>
          <w:kern w:val="0"/>
          <w:sz w:val="28"/>
          <w:szCs w:val="28"/>
          <w:highlight w:val="none"/>
          <w:lang w:eastAsia="zh-CN"/>
        </w:rPr>
        <w:t>章</w:t>
      </w:r>
      <w:r>
        <w:rPr>
          <w:rStyle w:val="23"/>
          <w:rFonts w:hint="eastAsia" w:ascii="宋体" w:hAnsi="宋体" w:eastAsia="宋体" w:cs="宋体"/>
          <w:b/>
          <w:color w:val="000000"/>
          <w:kern w:val="0"/>
          <w:sz w:val="28"/>
          <w:szCs w:val="28"/>
          <w:highlight w:val="none"/>
        </w:rPr>
        <w:t xml:space="preserve">    </w:t>
      </w:r>
      <w:r>
        <w:rPr>
          <w:rStyle w:val="23"/>
          <w:rFonts w:hint="eastAsia" w:ascii="宋体" w:hAnsi="宋体" w:cs="宋体"/>
          <w:b/>
          <w:color w:val="000000"/>
          <w:kern w:val="0"/>
          <w:sz w:val="28"/>
          <w:szCs w:val="28"/>
          <w:highlight w:val="none"/>
          <w:lang w:eastAsia="zh-CN"/>
        </w:rPr>
        <w:t>招标</w:t>
      </w:r>
      <w:r>
        <w:rPr>
          <w:rStyle w:val="23"/>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3"/>
          <w:rFonts w:hint="eastAsia" w:ascii="宋体" w:hAnsi="宋体" w:eastAsia="宋体" w:cs="宋体"/>
          <w:b/>
          <w:color w:val="000000"/>
          <w:kern w:val="0"/>
          <w:sz w:val="28"/>
          <w:szCs w:val="28"/>
          <w:highlight w:val="none"/>
        </w:rPr>
      </w:pPr>
      <w:r>
        <w:rPr>
          <w:rStyle w:val="23"/>
          <w:rFonts w:hint="eastAsia" w:ascii="宋体" w:hAnsi="宋体" w:eastAsia="宋体" w:cs="宋体"/>
          <w:b/>
          <w:color w:val="000000"/>
          <w:kern w:val="0"/>
          <w:sz w:val="28"/>
          <w:szCs w:val="28"/>
          <w:highlight w:val="none"/>
        </w:rPr>
        <w:t xml:space="preserve">第三章    </w:t>
      </w:r>
      <w:r>
        <w:rPr>
          <w:rStyle w:val="23"/>
          <w:rFonts w:hint="eastAsia" w:ascii="宋体" w:hAnsi="宋体" w:cs="宋体"/>
          <w:b/>
          <w:color w:val="000000"/>
          <w:kern w:val="0"/>
          <w:sz w:val="28"/>
          <w:szCs w:val="28"/>
          <w:highlight w:val="none"/>
          <w:lang w:eastAsia="zh-CN"/>
        </w:rPr>
        <w:t>招标</w:t>
      </w:r>
      <w:r>
        <w:rPr>
          <w:rStyle w:val="23"/>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3"/>
          <w:rFonts w:hint="eastAsia" w:ascii="宋体" w:hAnsi="宋体" w:eastAsia="宋体" w:cs="宋体"/>
          <w:b/>
          <w:color w:val="000000"/>
          <w:kern w:val="0"/>
          <w:sz w:val="28"/>
          <w:szCs w:val="28"/>
          <w:highlight w:val="none"/>
        </w:rPr>
      </w:pPr>
      <w:r>
        <w:rPr>
          <w:rStyle w:val="23"/>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3"/>
          <w:rFonts w:hint="eastAsia" w:ascii="宋体" w:hAnsi="宋体" w:eastAsia="宋体" w:cs="宋体"/>
          <w:b/>
          <w:color w:val="000000"/>
          <w:kern w:val="0"/>
          <w:sz w:val="28"/>
          <w:szCs w:val="28"/>
          <w:highlight w:val="none"/>
          <w:lang w:eastAsia="zh-CN"/>
        </w:rPr>
      </w:pPr>
      <w:r>
        <w:rPr>
          <w:rStyle w:val="23"/>
          <w:rFonts w:hint="eastAsia" w:ascii="宋体" w:hAnsi="宋体" w:eastAsia="宋体" w:cs="宋体"/>
          <w:b/>
          <w:color w:val="000000"/>
          <w:kern w:val="0"/>
          <w:sz w:val="28"/>
          <w:szCs w:val="28"/>
          <w:highlight w:val="none"/>
        </w:rPr>
        <w:t xml:space="preserve">第五章    </w:t>
      </w:r>
      <w:r>
        <w:rPr>
          <w:rStyle w:val="23"/>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3"/>
          <w:rFonts w:hint="eastAsia" w:ascii="宋体" w:hAnsi="宋体" w:eastAsia="宋体" w:cs="宋体"/>
          <w:b/>
          <w:color w:val="000000"/>
          <w:kern w:val="0"/>
          <w:sz w:val="28"/>
          <w:szCs w:val="28"/>
          <w:highlight w:val="none"/>
          <w:lang w:eastAsia="zh-CN"/>
        </w:rPr>
      </w:pPr>
      <w:r>
        <w:rPr>
          <w:rStyle w:val="23"/>
          <w:rFonts w:hint="eastAsia" w:ascii="宋体" w:hAnsi="宋体" w:eastAsia="宋体" w:cs="宋体"/>
          <w:b/>
          <w:color w:val="000000"/>
          <w:kern w:val="0"/>
          <w:sz w:val="28"/>
          <w:szCs w:val="28"/>
          <w:highlight w:val="none"/>
        </w:rPr>
        <w:t>第</w:t>
      </w:r>
      <w:r>
        <w:rPr>
          <w:rStyle w:val="23"/>
          <w:rFonts w:hint="eastAsia" w:ascii="宋体" w:hAnsi="宋体" w:cs="宋体"/>
          <w:b/>
          <w:color w:val="000000"/>
          <w:kern w:val="0"/>
          <w:sz w:val="28"/>
          <w:szCs w:val="28"/>
          <w:highlight w:val="none"/>
          <w:lang w:eastAsia="zh-CN"/>
        </w:rPr>
        <w:t>六</w:t>
      </w:r>
      <w:r>
        <w:rPr>
          <w:rStyle w:val="23"/>
          <w:rFonts w:hint="eastAsia" w:ascii="宋体" w:hAnsi="宋体" w:eastAsia="宋体" w:cs="宋体"/>
          <w:b/>
          <w:color w:val="000000"/>
          <w:kern w:val="0"/>
          <w:sz w:val="28"/>
          <w:szCs w:val="28"/>
          <w:highlight w:val="none"/>
        </w:rPr>
        <w:t xml:space="preserve">章    </w:t>
      </w:r>
      <w:r>
        <w:rPr>
          <w:rStyle w:val="23"/>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3"/>
          <w:rFonts w:hint="eastAsia" w:ascii="宋体" w:hAnsi="宋体" w:cs="宋体"/>
          <w:b/>
          <w:color w:val="000000"/>
          <w:kern w:val="0"/>
          <w:sz w:val="28"/>
          <w:szCs w:val="28"/>
          <w:highlight w:val="none"/>
          <w:lang w:eastAsia="zh-CN"/>
        </w:rPr>
        <w:t>第七章</w:t>
      </w:r>
      <w:r>
        <w:rPr>
          <w:rStyle w:val="23"/>
          <w:rFonts w:hint="eastAsia" w:ascii="宋体" w:hAnsi="宋体" w:cs="宋体"/>
          <w:b/>
          <w:color w:val="000000"/>
          <w:kern w:val="0"/>
          <w:sz w:val="28"/>
          <w:szCs w:val="28"/>
          <w:highlight w:val="none"/>
          <w:lang w:val="en-US" w:eastAsia="zh-CN"/>
        </w:rPr>
        <w:t xml:space="preserve">    </w:t>
      </w:r>
      <w:r>
        <w:rPr>
          <w:rStyle w:val="23"/>
          <w:rFonts w:hint="eastAsia" w:ascii="宋体" w:hAnsi="宋体" w:cs="宋体"/>
          <w:b/>
          <w:color w:val="000000"/>
          <w:kern w:val="0"/>
          <w:sz w:val="28"/>
          <w:szCs w:val="28"/>
          <w:highlight w:val="none"/>
          <w:lang w:eastAsia="zh-CN"/>
        </w:rPr>
        <w:t>投标</w:t>
      </w:r>
      <w:r>
        <w:rPr>
          <w:rStyle w:val="23"/>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pStyle w:val="2"/>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sectPr>
          <w:footerReference r:id="rId7" w:type="default"/>
          <w:pgSz w:w="11906" w:h="16838"/>
          <w:pgMar w:top="1440" w:right="1800" w:bottom="1402" w:left="1620" w:header="851" w:footer="992" w:gutter="0"/>
          <w:pgNumType w:fmt="decimal" w:start="1"/>
          <w:cols w:space="720" w:num="1"/>
          <w:docGrid w:type="lines" w:linePitch="312" w:charSpace="0"/>
        </w:sectPr>
      </w:pPr>
    </w:p>
    <w:p>
      <w:pPr>
        <w:pStyle w:val="2"/>
        <w:rPr>
          <w:rFonts w:hint="eastAsia"/>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bCs/>
          <w:kern w:val="0"/>
          <w:sz w:val="21"/>
          <w:szCs w:val="24"/>
          <w:highlight w:val="none"/>
        </w:rPr>
      </w:pPr>
      <w:r>
        <w:rPr>
          <w:rStyle w:val="23"/>
          <w:rFonts w:hint="eastAsia" w:ascii="宋体" w:hAnsi="宋体" w:eastAsia="宋体" w:cs="宋体"/>
          <w:b/>
          <w:sz w:val="36"/>
          <w:szCs w:val="36"/>
          <w:highlight w:val="none"/>
        </w:rPr>
        <w:t xml:space="preserve">第一章  </w:t>
      </w:r>
      <w:r>
        <w:rPr>
          <w:rStyle w:val="23"/>
          <w:rFonts w:hint="eastAsia" w:ascii="宋体" w:hAnsi="宋体" w:cs="宋体"/>
          <w:b/>
          <w:sz w:val="36"/>
          <w:szCs w:val="36"/>
          <w:highlight w:val="none"/>
          <w:lang w:eastAsia="zh-CN"/>
        </w:rPr>
        <w:t>招标</w:t>
      </w:r>
      <w:r>
        <w:rPr>
          <w:rStyle w:val="23"/>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3"/>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本着“公开、公正、公平”原则，陕西中医药大学第二附属医院就零星</w:t>
      </w:r>
      <w:r>
        <w:rPr>
          <w:rFonts w:hint="eastAsia" w:ascii="宋体" w:hAnsi="宋体" w:cs="宋体"/>
          <w:sz w:val="24"/>
          <w:szCs w:val="24"/>
          <w:highlight w:val="none"/>
          <w:lang w:eastAsia="zh-CN"/>
        </w:rPr>
        <w:t>家具供货</w:t>
      </w:r>
      <w:r>
        <w:rPr>
          <w:rFonts w:hint="eastAsia" w:ascii="宋体" w:hAnsi="宋体" w:eastAsia="宋体" w:cs="宋体"/>
          <w:sz w:val="24"/>
          <w:szCs w:val="24"/>
          <w:highlight w:val="none"/>
        </w:rPr>
        <w:t>单位遴选项目进行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欢迎符合资格条件、有能力提供本项目所需相关服务的企业参加招标活动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采购项目内容：详见</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文件第三章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3"/>
          <w:rFonts w:hint="default" w:ascii="宋体" w:hAnsi="宋体" w:eastAsia="宋体" w:cs="宋体"/>
          <w:sz w:val="24"/>
          <w:szCs w:val="24"/>
          <w:highlight w:val="none"/>
          <w:lang w:val="en-US"/>
        </w:rPr>
      </w:pPr>
      <w:r>
        <w:rPr>
          <w:rStyle w:val="23"/>
          <w:rFonts w:hint="eastAsia" w:ascii="宋体" w:hAnsi="宋体" w:cs="宋体"/>
          <w:sz w:val="24"/>
          <w:szCs w:val="24"/>
          <w:highlight w:val="none"/>
          <w:lang w:val="en-US" w:eastAsia="zh-CN"/>
        </w:rPr>
        <w:t>1</w:t>
      </w:r>
      <w:r>
        <w:rPr>
          <w:rStyle w:val="23"/>
          <w:rFonts w:hint="eastAsia" w:ascii="宋体" w:hAnsi="宋体" w:eastAsia="宋体" w:cs="宋体"/>
          <w:sz w:val="24"/>
          <w:szCs w:val="24"/>
          <w:highlight w:val="none"/>
        </w:rPr>
        <w:t>、入围数量：</w:t>
      </w:r>
      <w:r>
        <w:rPr>
          <w:rStyle w:val="23"/>
          <w:rFonts w:hint="eastAsia" w:ascii="宋体" w:hAnsi="宋体" w:cs="宋体"/>
          <w:sz w:val="24"/>
          <w:szCs w:val="24"/>
          <w:highlight w:val="none"/>
          <w:lang w:eastAsia="zh-CN"/>
        </w:rPr>
        <w:t>开标时不少于</w:t>
      </w:r>
      <w:r>
        <w:rPr>
          <w:rStyle w:val="23"/>
          <w:rFonts w:hint="eastAsia" w:ascii="宋体" w:hAnsi="宋体" w:cs="宋体"/>
          <w:sz w:val="24"/>
          <w:szCs w:val="24"/>
          <w:highlight w:val="none"/>
          <w:lang w:val="en-US" w:eastAsia="zh-CN"/>
        </w:rPr>
        <w:t>5家单位，方可开标，入围3家。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rPr>
      </w:pPr>
      <w:r>
        <w:rPr>
          <w:rStyle w:val="23"/>
          <w:rFonts w:hint="eastAsia" w:ascii="宋体" w:hAnsi="宋体" w:cs="宋体"/>
          <w:sz w:val="24"/>
          <w:szCs w:val="24"/>
          <w:highlight w:val="none"/>
          <w:lang w:val="en-US" w:eastAsia="zh-CN"/>
        </w:rPr>
        <w:t>2、</w:t>
      </w:r>
      <w:r>
        <w:rPr>
          <w:rStyle w:val="23"/>
          <w:rFonts w:hint="eastAsia" w:ascii="宋体" w:hAnsi="宋体" w:eastAsia="宋体" w:cs="宋体"/>
          <w:sz w:val="24"/>
          <w:szCs w:val="24"/>
          <w:highlight w:val="none"/>
        </w:rPr>
        <w:t>服务期限：</w:t>
      </w:r>
      <w:r>
        <w:rPr>
          <w:rStyle w:val="23"/>
          <w:rFonts w:hint="eastAsia" w:ascii="宋体" w:hAnsi="宋体" w:cs="宋体"/>
          <w:sz w:val="24"/>
          <w:szCs w:val="24"/>
          <w:highlight w:val="none"/>
          <w:lang w:eastAsia="zh-CN"/>
        </w:rPr>
        <w:t>两</w:t>
      </w:r>
      <w:r>
        <w:rPr>
          <w:rStyle w:val="23"/>
          <w:rFonts w:hint="eastAsia" w:ascii="宋体" w:hAnsi="宋体" w:eastAsia="宋体" w:cs="宋体"/>
          <w:sz w:val="24"/>
          <w:szCs w:val="24"/>
          <w:highlight w:val="none"/>
        </w:rPr>
        <w:t>年（从双方签订合同之日起计算）</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报名需提供以下资质：</w:t>
      </w:r>
    </w:p>
    <w:p>
      <w:pPr>
        <w:pStyle w:val="7"/>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rPr>
      </w:pPr>
      <w:r>
        <w:rPr>
          <w:rFonts w:hint="eastAsia" w:ascii="宋体" w:hAnsi="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须具备合法注册的法人或其他组织的营业执照、组织机构代码证、税务登记证或统一社会信用代码的营业执照等证明文件,投标人为代理商的需提供生产厂家针对本项目的授权书</w:t>
      </w:r>
      <w:r>
        <w:rPr>
          <w:rFonts w:hint="eastAsia" w:ascii="宋体" w:hAnsi="宋体" w:eastAsia="宋体" w:cs="宋体"/>
          <w:b w:val="0"/>
          <w:bCs/>
          <w:sz w:val="24"/>
          <w:szCs w:val="32"/>
          <w:highlight w:val="none"/>
          <w:u w:val="none"/>
          <w:lang w:eastAsia="zh-CN"/>
        </w:rPr>
        <w:t>（原件</w:t>
      </w:r>
      <w:r>
        <w:rPr>
          <w:rFonts w:hint="eastAsia" w:ascii="宋体" w:hAnsi="宋体" w:cs="宋体"/>
          <w:b w:val="0"/>
          <w:bCs/>
          <w:sz w:val="24"/>
          <w:szCs w:val="32"/>
          <w:highlight w:val="none"/>
          <w:u w:val="none"/>
          <w:lang w:eastAsia="zh-CN"/>
        </w:rPr>
        <w:t>及复印件</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rPr>
        <w:t>；</w:t>
      </w:r>
    </w:p>
    <w:p>
      <w:pPr>
        <w:pStyle w:val="7"/>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default"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2、投标人应授权合法的人员参加投标全过程，其中法定代表人直接参加投标的，须出具法人身份证，并与营业执照信息一致；法定代表人授权人参加投标的，应出具法定代表人授权书及被授权人身份证（原件及复印件）；</w:t>
      </w:r>
    </w:p>
    <w:p>
      <w:pPr>
        <w:pStyle w:val="7"/>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lang w:val="en-US"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lang w:val="en-US" w:eastAsia="zh-CN"/>
        </w:rPr>
        <w:t>供应商须未被列入“信用中国”网站（www.creditchina.gov.cn）失信被执行人（以截图打印并加盖单位鲜章为准）；</w:t>
      </w:r>
    </w:p>
    <w:p>
      <w:pPr>
        <w:pStyle w:val="7"/>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4、</w:t>
      </w:r>
      <w:r>
        <w:rPr>
          <w:rFonts w:hint="eastAsia" w:ascii="宋体" w:hAnsi="宋体" w:eastAsia="宋体" w:cs="宋体"/>
          <w:b w:val="0"/>
          <w:bCs/>
          <w:sz w:val="24"/>
          <w:szCs w:val="32"/>
          <w:highlight w:val="none"/>
          <w:u w:val="none"/>
          <w:lang w:eastAsia="zh-CN"/>
        </w:rPr>
        <w:t>以上复印件均须加盖单位鲜章（不接受电脑扫描件作为原件资质）。</w:t>
      </w:r>
    </w:p>
    <w:p>
      <w:pPr>
        <w:pStyle w:val="7"/>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本项目不允许联合体投标。</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报名时间: 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日(节假日和非工作时间除外)，上午8:30-11:00；下午14:00-16:00。</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报名地点：西咸新区沣西新城龙台观路831号门诊四层，信息科办公室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开标</w:t>
      </w:r>
      <w:r>
        <w:rPr>
          <w:rFonts w:hint="eastAsia" w:ascii="宋体" w:hAnsi="宋体" w:eastAsia="宋体" w:cs="宋体"/>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上</w:t>
      </w:r>
      <w:r>
        <w:rPr>
          <w:rFonts w:hint="eastAsia" w:ascii="宋体" w:hAnsi="宋体" w:eastAsia="宋体" w:cs="宋体"/>
          <w:color w:val="auto"/>
          <w:sz w:val="24"/>
          <w:szCs w:val="24"/>
          <w:highlight w:val="none"/>
        </w:rPr>
        <w:t>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:30(迟到10分钟后被视为自动弃权)</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报名费用：200元（概不退还） 投标保证金：</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000元</w:t>
      </w:r>
      <w:r>
        <w:rPr>
          <w:rFonts w:hint="eastAsia" w:hAnsi="宋体" w:cs="宋体"/>
          <w:color w:val="auto"/>
          <w:sz w:val="24"/>
          <w:szCs w:val="24"/>
          <w:highlight w:val="none"/>
          <w:lang w:eastAsia="zh-CN"/>
        </w:rPr>
        <w:t>（公对公转账</w:t>
      </w:r>
      <w:r>
        <w:rPr>
          <w:rFonts w:hint="eastAsia" w:hAnsi="宋体" w:cs="宋体"/>
          <w:color w:val="auto"/>
          <w:sz w:val="24"/>
          <w:szCs w:val="24"/>
          <w:highlight w:val="none"/>
          <w:lang w:val="en-US" w:eastAsia="zh-CN"/>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报名咨询电话：029-33350905/18064389226 （帅老师） </w:t>
      </w:r>
    </w:p>
    <w:p>
      <w:pPr>
        <w:pStyle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业务咨询电话：</w:t>
      </w:r>
      <w:r>
        <w:rPr>
          <w:rFonts w:hint="eastAsia" w:ascii="宋体" w:hAnsi="宋体" w:cs="宋体"/>
          <w:color w:val="auto"/>
          <w:sz w:val="24"/>
          <w:szCs w:val="24"/>
          <w:highlight w:val="none"/>
          <w:lang w:val="en-US" w:eastAsia="zh-CN"/>
        </w:rPr>
        <w:t>19916287800</w:t>
      </w:r>
      <w:r>
        <w:rPr>
          <w:rFonts w:hint="eastAsia" w:ascii="宋体" w:hAnsi="宋体" w:eastAsia="宋体" w:cs="宋体"/>
          <w:color w:val="auto"/>
          <w:sz w:val="24"/>
          <w:szCs w:val="24"/>
          <w:highlight w:val="none"/>
        </w:rPr>
        <w:t>张老师</w:t>
      </w:r>
    </w:p>
    <w:p>
      <w:pPr>
        <w:pStyle w:val="2"/>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color w:val="auto"/>
          <w:sz w:val="24"/>
          <w:szCs w:val="24"/>
          <w:highlight w:val="none"/>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r>
        <w:rPr>
          <w:rStyle w:val="23"/>
          <w:rFonts w:hint="eastAsia" w:ascii="宋体" w:hAnsi="宋体" w:eastAsia="宋体" w:cs="宋体"/>
          <w:b/>
          <w:sz w:val="36"/>
          <w:szCs w:val="36"/>
          <w:highlight w:val="none"/>
        </w:rPr>
        <w:t xml:space="preserve">第二章  </w:t>
      </w:r>
      <w:r>
        <w:rPr>
          <w:rStyle w:val="23"/>
          <w:rFonts w:hint="eastAsia" w:ascii="宋体" w:hAnsi="宋体" w:cs="宋体"/>
          <w:b/>
          <w:sz w:val="36"/>
          <w:szCs w:val="36"/>
          <w:highlight w:val="none"/>
          <w:lang w:eastAsia="zh-CN"/>
        </w:rPr>
        <w:t>招标</w:t>
      </w:r>
      <w:r>
        <w:rPr>
          <w:rStyle w:val="23"/>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1、投标人应认真浏览</w:t>
      </w:r>
      <w:r>
        <w:rPr>
          <w:rStyle w:val="23"/>
          <w:rFonts w:hint="eastAsia" w:ascii="宋体" w:hAnsi="宋体" w:cs="宋体"/>
          <w:bCs/>
          <w:sz w:val="24"/>
          <w:szCs w:val="21"/>
          <w:highlight w:val="none"/>
          <w:lang w:eastAsia="zh-CN"/>
        </w:rPr>
        <w:t>招标</w:t>
      </w:r>
      <w:r>
        <w:rPr>
          <w:rStyle w:val="23"/>
          <w:rFonts w:hint="eastAsia" w:ascii="宋体" w:hAnsi="宋体" w:eastAsia="宋体" w:cs="宋体"/>
          <w:bCs/>
          <w:sz w:val="24"/>
          <w:szCs w:val="21"/>
          <w:highlight w:val="none"/>
        </w:rPr>
        <w:t>公告及</w:t>
      </w:r>
      <w:r>
        <w:rPr>
          <w:rStyle w:val="23"/>
          <w:rFonts w:hint="eastAsia" w:ascii="宋体" w:hAnsi="宋体" w:cs="宋体"/>
          <w:bCs/>
          <w:sz w:val="24"/>
          <w:szCs w:val="21"/>
          <w:highlight w:val="none"/>
          <w:lang w:eastAsia="zh-CN"/>
        </w:rPr>
        <w:t>招标</w:t>
      </w:r>
      <w:r>
        <w:rPr>
          <w:rStyle w:val="23"/>
          <w:rFonts w:hint="eastAsia" w:ascii="宋体" w:hAnsi="宋体" w:eastAsia="宋体" w:cs="宋体"/>
          <w:bCs/>
          <w:sz w:val="24"/>
          <w:szCs w:val="21"/>
          <w:highlight w:val="none"/>
        </w:rPr>
        <w:t>文件，将</w:t>
      </w:r>
      <w:r>
        <w:rPr>
          <w:rStyle w:val="23"/>
          <w:rFonts w:hint="eastAsia" w:ascii="宋体" w:hAnsi="宋体" w:cs="宋体"/>
          <w:bCs/>
          <w:sz w:val="24"/>
          <w:szCs w:val="21"/>
          <w:highlight w:val="none"/>
          <w:lang w:eastAsia="zh-CN"/>
        </w:rPr>
        <w:t>招标</w:t>
      </w:r>
      <w:r>
        <w:rPr>
          <w:rStyle w:val="23"/>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2、报名时不要将失效的证书复印件装订在资格审查资料中。投标人要及时办理证书延期手续，变更后要通知</w:t>
      </w:r>
      <w:r>
        <w:rPr>
          <w:rStyle w:val="23"/>
          <w:rFonts w:hint="eastAsia" w:ascii="宋体" w:hAnsi="宋体" w:cs="宋体"/>
          <w:bCs/>
          <w:sz w:val="24"/>
          <w:szCs w:val="21"/>
          <w:highlight w:val="none"/>
          <w:lang w:eastAsia="zh-CN"/>
        </w:rPr>
        <w:t>投标文件</w:t>
      </w:r>
      <w:r>
        <w:rPr>
          <w:rStyle w:val="23"/>
          <w:rFonts w:hint="eastAsia" w:ascii="宋体" w:hAnsi="宋体" w:eastAsia="宋体" w:cs="宋体"/>
          <w:bCs/>
          <w:sz w:val="24"/>
          <w:szCs w:val="21"/>
          <w:highlight w:val="none"/>
        </w:rPr>
        <w:t>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lang w:eastAsia="zh-CN"/>
        </w:rPr>
      </w:pPr>
      <w:r>
        <w:rPr>
          <w:rStyle w:val="23"/>
          <w:rFonts w:hint="eastAsia" w:ascii="宋体" w:hAnsi="宋体" w:eastAsia="宋体" w:cs="宋体"/>
          <w:bCs/>
          <w:sz w:val="24"/>
          <w:szCs w:val="21"/>
          <w:highlight w:val="none"/>
        </w:rPr>
        <w:t>3、投标人在编制资格审查资料时，应按照</w:t>
      </w:r>
      <w:r>
        <w:rPr>
          <w:rStyle w:val="23"/>
          <w:rFonts w:hint="eastAsia" w:ascii="宋体" w:hAnsi="宋体" w:cs="宋体"/>
          <w:bCs/>
          <w:sz w:val="24"/>
          <w:szCs w:val="21"/>
          <w:highlight w:val="none"/>
          <w:lang w:eastAsia="zh-CN"/>
        </w:rPr>
        <w:t>招标</w:t>
      </w:r>
      <w:r>
        <w:rPr>
          <w:rStyle w:val="23"/>
          <w:rFonts w:hint="eastAsia" w:ascii="宋体" w:hAnsi="宋体" w:eastAsia="宋体" w:cs="宋体"/>
          <w:bCs/>
          <w:sz w:val="24"/>
          <w:szCs w:val="21"/>
          <w:highlight w:val="none"/>
        </w:rPr>
        <w:t>文件中要求的提供，不要遗漏，也不要人为增加</w:t>
      </w:r>
      <w:r>
        <w:rPr>
          <w:rStyle w:val="23"/>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4、</w:t>
      </w:r>
      <w:r>
        <w:rPr>
          <w:rStyle w:val="23"/>
          <w:rFonts w:hint="eastAsia" w:ascii="宋体" w:hAnsi="宋体" w:cs="宋体"/>
          <w:bCs/>
          <w:sz w:val="24"/>
          <w:szCs w:val="21"/>
          <w:highlight w:val="none"/>
          <w:lang w:eastAsia="zh-CN"/>
        </w:rPr>
        <w:t>投标文件</w:t>
      </w:r>
      <w:r>
        <w:rPr>
          <w:rStyle w:val="23"/>
          <w:rFonts w:hint="eastAsia" w:ascii="宋体" w:hAnsi="宋体" w:eastAsia="宋体" w:cs="宋体"/>
          <w:bCs/>
          <w:sz w:val="24"/>
          <w:szCs w:val="21"/>
          <w:highlight w:val="none"/>
        </w:rPr>
        <w:t>应对</w:t>
      </w:r>
      <w:r>
        <w:rPr>
          <w:rStyle w:val="23"/>
          <w:rFonts w:hint="eastAsia" w:ascii="宋体" w:hAnsi="宋体" w:cs="宋体"/>
          <w:bCs/>
          <w:sz w:val="24"/>
          <w:szCs w:val="21"/>
          <w:highlight w:val="none"/>
          <w:lang w:eastAsia="zh-CN"/>
        </w:rPr>
        <w:t>招标</w:t>
      </w:r>
      <w:r>
        <w:rPr>
          <w:rStyle w:val="23"/>
          <w:rFonts w:hint="eastAsia" w:ascii="宋体" w:hAnsi="宋体" w:eastAsia="宋体" w:cs="宋体"/>
          <w:bCs/>
          <w:sz w:val="24"/>
          <w:szCs w:val="21"/>
          <w:highlight w:val="none"/>
        </w:rPr>
        <w:t>文件的要求做出实质响应。符合</w:t>
      </w:r>
      <w:r>
        <w:rPr>
          <w:rStyle w:val="23"/>
          <w:rFonts w:hint="eastAsia" w:ascii="宋体" w:hAnsi="宋体" w:cs="宋体"/>
          <w:bCs/>
          <w:sz w:val="24"/>
          <w:szCs w:val="21"/>
          <w:highlight w:val="none"/>
          <w:lang w:eastAsia="zh-CN"/>
        </w:rPr>
        <w:t>招标</w:t>
      </w:r>
      <w:r>
        <w:rPr>
          <w:rStyle w:val="23"/>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5、</w:t>
      </w:r>
      <w:r>
        <w:rPr>
          <w:rStyle w:val="23"/>
          <w:rFonts w:hint="eastAsia" w:ascii="宋体" w:hAnsi="宋体" w:cs="宋体"/>
          <w:bCs/>
          <w:sz w:val="24"/>
          <w:szCs w:val="21"/>
          <w:highlight w:val="none"/>
          <w:lang w:eastAsia="zh-CN"/>
        </w:rPr>
        <w:t>投标文件</w:t>
      </w:r>
      <w:r>
        <w:rPr>
          <w:rStyle w:val="23"/>
          <w:rFonts w:hint="eastAsia" w:ascii="宋体" w:hAnsi="宋体" w:eastAsia="宋体" w:cs="宋体"/>
          <w:bCs/>
          <w:sz w:val="24"/>
          <w:szCs w:val="21"/>
          <w:highlight w:val="none"/>
        </w:rPr>
        <w:t>中有近三年业绩证明，尽量提供产品在陕的销售合同。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6、投标人在提交</w:t>
      </w:r>
      <w:r>
        <w:rPr>
          <w:rStyle w:val="23"/>
          <w:rFonts w:hint="eastAsia" w:ascii="宋体" w:hAnsi="宋体" w:cs="宋体"/>
          <w:bCs/>
          <w:sz w:val="24"/>
          <w:szCs w:val="21"/>
          <w:highlight w:val="none"/>
          <w:lang w:eastAsia="zh-CN"/>
        </w:rPr>
        <w:t>投标文件</w:t>
      </w:r>
      <w:r>
        <w:rPr>
          <w:rStyle w:val="23"/>
          <w:rFonts w:hint="eastAsia" w:ascii="宋体" w:hAnsi="宋体" w:eastAsia="宋体" w:cs="宋体"/>
          <w:bCs/>
          <w:sz w:val="24"/>
          <w:szCs w:val="21"/>
          <w:highlight w:val="none"/>
        </w:rPr>
        <w:t>时，最好将企业公章和法定代表人或其委托代理人印章随身携带，在提交</w:t>
      </w:r>
      <w:r>
        <w:rPr>
          <w:rStyle w:val="23"/>
          <w:rFonts w:hint="eastAsia" w:ascii="宋体" w:hAnsi="宋体" w:cs="宋体"/>
          <w:bCs/>
          <w:sz w:val="24"/>
          <w:szCs w:val="21"/>
          <w:highlight w:val="none"/>
          <w:lang w:eastAsia="zh-CN"/>
        </w:rPr>
        <w:t>投标文件</w:t>
      </w:r>
      <w:r>
        <w:rPr>
          <w:rStyle w:val="23"/>
          <w:rFonts w:hint="eastAsia" w:ascii="宋体" w:hAnsi="宋体" w:eastAsia="宋体" w:cs="宋体"/>
          <w:bCs/>
          <w:sz w:val="24"/>
          <w:szCs w:val="21"/>
          <w:highlight w:val="none"/>
        </w:rPr>
        <w:t>时如发现</w:t>
      </w:r>
      <w:r>
        <w:rPr>
          <w:rStyle w:val="23"/>
          <w:rFonts w:hint="eastAsia" w:ascii="宋体" w:hAnsi="宋体" w:cs="宋体"/>
          <w:bCs/>
          <w:sz w:val="24"/>
          <w:szCs w:val="21"/>
          <w:highlight w:val="none"/>
          <w:lang w:eastAsia="zh-CN"/>
        </w:rPr>
        <w:t>投标文件</w:t>
      </w:r>
      <w:r>
        <w:rPr>
          <w:rStyle w:val="23"/>
          <w:rFonts w:hint="eastAsia" w:ascii="宋体" w:hAnsi="宋体" w:eastAsia="宋体" w:cs="宋体"/>
          <w:bCs/>
          <w:sz w:val="24"/>
          <w:szCs w:val="21"/>
          <w:highlight w:val="none"/>
        </w:rPr>
        <w:t>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sz w:val="24"/>
          <w:szCs w:val="24"/>
          <w:highlight w:val="none"/>
        </w:rPr>
      </w:pPr>
      <w:r>
        <w:rPr>
          <w:rStyle w:val="23"/>
          <w:rFonts w:hint="eastAsia" w:ascii="宋体" w:hAnsi="宋体" w:eastAsia="宋体" w:cs="宋体"/>
          <w:b/>
          <w:sz w:val="36"/>
          <w:szCs w:val="36"/>
          <w:highlight w:val="none"/>
        </w:rPr>
        <w:t xml:space="preserve">第三章  </w:t>
      </w:r>
      <w:r>
        <w:rPr>
          <w:rStyle w:val="23"/>
          <w:rFonts w:hint="eastAsia" w:ascii="宋体" w:hAnsi="宋体" w:cs="宋体"/>
          <w:b/>
          <w:sz w:val="36"/>
          <w:szCs w:val="36"/>
          <w:highlight w:val="none"/>
          <w:lang w:eastAsia="zh-CN"/>
        </w:rPr>
        <w:t>招标</w:t>
      </w:r>
      <w:r>
        <w:rPr>
          <w:rStyle w:val="23"/>
          <w:rFonts w:hint="eastAsia" w:ascii="宋体" w:hAnsi="宋体" w:eastAsia="宋体" w:cs="宋体"/>
          <w:b/>
          <w:sz w:val="36"/>
          <w:szCs w:val="36"/>
          <w:highlight w:val="none"/>
        </w:rPr>
        <w:t>内容及要求</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lang w:eastAsia="zh-CN"/>
        </w:rPr>
        <w:t>一、招标</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经过综合打分、按</w:t>
      </w:r>
      <w:r>
        <w:rPr>
          <w:rFonts w:hint="eastAsia" w:ascii="宋体" w:hAnsi="宋体" w:cs="宋体"/>
          <w:color w:val="auto"/>
          <w:kern w:val="0"/>
          <w:sz w:val="24"/>
          <w:szCs w:val="24"/>
          <w:highlight w:val="none"/>
          <w:lang w:eastAsia="zh-CN"/>
        </w:rPr>
        <w:t>得分</w:t>
      </w:r>
      <w:r>
        <w:rPr>
          <w:rFonts w:hint="eastAsia" w:ascii="宋体" w:hAnsi="宋体" w:cs="宋体"/>
          <w:color w:val="auto"/>
          <w:kern w:val="0"/>
          <w:sz w:val="24"/>
          <w:szCs w:val="24"/>
          <w:highlight w:val="none"/>
          <w:lang w:val="en-US" w:eastAsia="zh-CN"/>
        </w:rPr>
        <w:t>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家公司签订合作协议</w:t>
      </w:r>
      <w:r>
        <w:rPr>
          <w:rFonts w:hint="eastAsia" w:ascii="宋体" w:hAnsi="宋体" w:cs="宋体"/>
          <w:color w:val="auto"/>
          <w:kern w:val="0"/>
          <w:sz w:val="24"/>
          <w:szCs w:val="24"/>
          <w:highlight w:val="none"/>
          <w:lang w:eastAsia="zh-CN"/>
        </w:rPr>
        <w:t>。</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2、基础家具：家具名称、规格、参数及最高限制单价明细表，见附表。由遴选入围供货单位按照具体签订合同价格，以轮转方式进行供货。</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非基础家具：科室申请预算在2万元及以下的非基础清单内家具，在遴选中标的三家单位中进行议价，以最低价中标单位承担具体科室非基础家具供货事宜。确定后双方就非基础家具价款、规格等内容签订工作联系函予以明确。</w:t>
      </w:r>
    </w:p>
    <w:p>
      <w:pPr>
        <w:spacing w:line="360" w:lineRule="auto"/>
        <w:ind w:firstLine="480" w:firstLineChars="200"/>
        <w:rPr>
          <w:rFonts w:hint="eastAsia"/>
          <w:lang w:val="en-US" w:eastAsia="zh-CN"/>
        </w:rPr>
      </w:pPr>
      <w:r>
        <w:rPr>
          <w:rFonts w:hint="eastAsia" w:ascii="宋体" w:hAnsi="宋体" w:cs="宋体"/>
          <w:color w:val="auto"/>
          <w:kern w:val="0"/>
          <w:sz w:val="24"/>
          <w:szCs w:val="24"/>
          <w:highlight w:val="none"/>
          <w:lang w:val="en-US" w:eastAsia="zh-CN"/>
        </w:rPr>
        <w:t>所有家具要求与医院现有家具颜色一致，本项目不组织现场踏勘，各投标单</w:t>
      </w:r>
      <w:bookmarkStart w:id="60" w:name="_GoBack"/>
      <w:bookmarkEnd w:id="60"/>
      <w:r>
        <w:rPr>
          <w:rFonts w:hint="eastAsia" w:ascii="宋体" w:hAnsi="宋体" w:cs="宋体"/>
          <w:color w:val="auto"/>
          <w:kern w:val="0"/>
          <w:sz w:val="24"/>
          <w:szCs w:val="24"/>
          <w:highlight w:val="none"/>
          <w:lang w:val="en-US" w:eastAsia="zh-CN"/>
        </w:rPr>
        <w:t>位可自行现场踏勘。</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3、合作</w:t>
      </w:r>
      <w:r>
        <w:rPr>
          <w:rFonts w:hint="eastAsia" w:ascii="宋体" w:hAnsi="宋体" w:cs="宋体"/>
          <w:color w:val="auto"/>
          <w:kern w:val="0"/>
          <w:sz w:val="24"/>
          <w:szCs w:val="24"/>
          <w:highlight w:val="none"/>
        </w:rPr>
        <w:t>期限</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货物的生产、安装、维修、检验、验收等按照以下原则执行：有国家标准的执行国家标准；无国家标准的执行行业标准；无行业标准的执行地方标准；无地方标准的执行企业标准。</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如果在技术参数或配置中标明了品牌或产地，则仅供参考，并非指定，但投标人提供的货物必须满足主要技术参数及配置要求，投标人可以选用替代的方案，但这种替代整体上要优于或相当于招标文件的相关要求。</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所有货物（包括零部件）须为全新的、未使用过的原装正品，并完全符合国家质量标准，提供厂家出具的合格证书、货物的技术参数及配置情况必须由供应商提供国家相关检测机构出具的检验报告、生产厂家公开发布的印刷资料等技术资料予以支持。没有技术资料支持的技术参数及配置不能视为响应。 </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技术支持</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中标人应向采购人提供全方位、及时而有效的技术支持和服务。</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中标人负责供货、设计、安装、调试。</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中标人负责将货物的全部有关技术文件（外文应提供中文翻译资料，下同）、资料、测试、验收报告等汇集成册交付采购人，涉及进口的产品或部件配件软件等须提供中国海关进口货物报关单、完税证明及商检证明等材料。</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质保及售后服务</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中标人须提供</w:t>
      </w:r>
      <w:r>
        <w:rPr>
          <w:rFonts w:hint="eastAsia" w:ascii="宋体" w:hAnsi="宋体" w:cs="宋体"/>
          <w:sz w:val="24"/>
          <w:szCs w:val="24"/>
          <w:highlight w:val="none"/>
          <w:lang w:eastAsia="zh-CN"/>
        </w:rPr>
        <w:t>至少</w:t>
      </w:r>
      <w:r>
        <w:rPr>
          <w:rFonts w:hint="eastAsia" w:ascii="宋体" w:hAnsi="宋体" w:cs="宋体"/>
          <w:sz w:val="24"/>
          <w:szCs w:val="24"/>
          <w:highlight w:val="none"/>
          <w:lang w:val="en-US" w:eastAsia="zh-CN"/>
        </w:rPr>
        <w:t>1</w:t>
      </w:r>
      <w:r>
        <w:rPr>
          <w:rFonts w:hint="eastAsia" w:ascii="宋体" w:hAnsi="宋体" w:cs="宋体"/>
          <w:sz w:val="24"/>
          <w:szCs w:val="24"/>
          <w:highlight w:val="none"/>
        </w:rPr>
        <w:t>年质保，所有质保费用均已包含在投标报价中，质保期满后，应提供优先的有偿售后服务及按不高于投标文件中主要配件、易损件清单所报价格供应原厂零配件等。</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中标人须设有维修服务电话，负责解答用户在设备使用中遇到的问题，及时提出解决问题的建议和操作方法。</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售后服务响应时间：如出现故障2小时内做出响应，对于用户的任何投诉和要求，在24小时内作出相应的答复。一般问题应在24小时内解决，重大问题或其它无法迅速解决的问题应在48小时内解决。特殊情况无法修复的，质保期内中标供应商应无条件更换新设备或提供代用设备，或采取使设备可正常运转的措施。</w:t>
      </w:r>
    </w:p>
    <w:p>
      <w:pPr>
        <w:shd w:val="clear" w:color="auto" w:fill="FFFFFF"/>
        <w:spacing w:line="520" w:lineRule="exact"/>
        <w:ind w:firstLine="360" w:firstLineChars="150"/>
        <w:rPr>
          <w:rFonts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验收</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采购人和相关部门按照国家规定标准验收，没有国家标准的按行业标准验收，无行业标准的按地方或企业标准验收，中标人予以配合。</w:t>
      </w:r>
    </w:p>
    <w:p>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货物在验收时，投标人应提供发票、制造厂家出具的产品合格证书、装箱清单等。</w:t>
      </w:r>
    </w:p>
    <w:p>
      <w:pPr>
        <w:shd w:val="clear" w:color="auto" w:fill="FFFFFF"/>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付款方式：</w:t>
      </w:r>
      <w:r>
        <w:rPr>
          <w:rFonts w:hint="eastAsia" w:ascii="宋体" w:hAnsi="宋体" w:cs="宋体"/>
          <w:sz w:val="24"/>
          <w:szCs w:val="24"/>
          <w:highlight w:val="none"/>
          <w:lang w:eastAsia="zh-CN"/>
        </w:rPr>
        <w:t>按季度结算货款，具体</w:t>
      </w:r>
      <w:r>
        <w:rPr>
          <w:rFonts w:hint="eastAsia" w:ascii="宋体" w:hAnsi="宋体" w:cs="宋体"/>
          <w:sz w:val="24"/>
          <w:szCs w:val="24"/>
          <w:highlight w:val="none"/>
        </w:rPr>
        <w:t>以签订供货合同为准。</w:t>
      </w:r>
    </w:p>
    <w:p>
      <w:pPr>
        <w:pStyle w:val="2"/>
        <w:rPr>
          <w:rFonts w:hint="eastAsia" w:ascii="宋体" w:hAnsi="宋体" w:cs="宋体"/>
          <w:sz w:val="24"/>
          <w:szCs w:val="24"/>
          <w:highlight w:val="none"/>
        </w:rPr>
      </w:pPr>
    </w:p>
    <w:p>
      <w:pPr>
        <w:pStyle w:val="2"/>
        <w:rPr>
          <w:rFonts w:hint="eastAsia" w:ascii="宋体" w:hAnsi="宋体" w:cs="宋体"/>
          <w:sz w:val="24"/>
          <w:szCs w:val="24"/>
          <w:highlight w:val="none"/>
        </w:rPr>
      </w:pPr>
    </w:p>
    <w:p>
      <w:pPr>
        <w:pStyle w:val="2"/>
        <w:rPr>
          <w:rFonts w:hint="eastAsia" w:ascii="宋体" w:hAnsi="宋体" w:cs="宋体"/>
          <w:sz w:val="24"/>
          <w:szCs w:val="24"/>
          <w:highlight w:val="none"/>
        </w:rPr>
      </w:pPr>
    </w:p>
    <w:p>
      <w:pPr>
        <w:pStyle w:val="2"/>
        <w:rPr>
          <w:rFonts w:hint="eastAsia" w:ascii="宋体" w:hAnsi="宋体" w:cs="宋体"/>
          <w:sz w:val="24"/>
          <w:szCs w:val="24"/>
          <w:highlight w:val="none"/>
        </w:rPr>
        <w:sectPr>
          <w:footerReference r:id="rId8" w:type="default"/>
          <w:pgSz w:w="11906" w:h="16838"/>
          <w:pgMar w:top="1440" w:right="1800" w:bottom="1402" w:left="1620" w:header="851" w:footer="992" w:gutter="0"/>
          <w:pgNumType w:fmt="decimal" w:start="1"/>
          <w:cols w:space="720" w:num="1"/>
          <w:docGrid w:type="lines" w:linePitch="312" w:charSpace="0"/>
        </w:sectPr>
      </w:pPr>
    </w:p>
    <w:tbl>
      <w:tblPr>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09"/>
        <w:gridCol w:w="770"/>
        <w:gridCol w:w="2410"/>
        <w:gridCol w:w="1590"/>
        <w:gridCol w:w="533"/>
        <w:gridCol w:w="7338"/>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4250"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陕西中医药大学第二附属医院零星基础家具参数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名称</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参考图片</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材质说明</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最高单价/元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行政办公桌</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174625</wp:posOffset>
                  </wp:positionH>
                  <wp:positionV relativeFrom="paragraph">
                    <wp:posOffset>524510</wp:posOffset>
                  </wp:positionV>
                  <wp:extent cx="1270635" cy="771525"/>
                  <wp:effectExtent l="0" t="0" r="5715" b="9525"/>
                  <wp:wrapNone/>
                  <wp:docPr id="29" name="图片_1"/>
                  <wp:cNvGraphicFramePr/>
                  <a:graphic xmlns:a="http://schemas.openxmlformats.org/drawingml/2006/main">
                    <a:graphicData uri="http://schemas.openxmlformats.org/drawingml/2006/picture">
                      <pic:pic xmlns:pic="http://schemas.openxmlformats.org/drawingml/2006/picture">
                        <pic:nvPicPr>
                          <pic:cNvPr id="29" name="图片_1"/>
                          <pic:cNvPicPr/>
                        </pic:nvPicPr>
                        <pic:blipFill>
                          <a:blip r:embed="rId15"/>
                          <a:stretch>
                            <a:fillRect/>
                          </a:stretch>
                        </pic:blipFill>
                        <pic:spPr>
                          <a:xfrm>
                            <a:off x="0" y="0"/>
                            <a:ext cx="1270635" cy="77152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1400*600*750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3.桌架：采用优质钢材厚度为2.0mm以上，60*60mm三角管口字型腿，表面选用符合环境安全环氧树脂粉体静电喷涂处理，装有可调底脚。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6.颜色：根据整体环境设计。桌面为木纹色（以最终确定色板为准），下部为白色或深灰色，符合人体工程学设计，实用性强，时尚雅致，环保舒适。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7.结构：配置键盘抽、抽柜和主机架，台面配一个铝合金翻转毛刷线盒。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医生办公桌1</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127000</wp:posOffset>
                  </wp:positionH>
                  <wp:positionV relativeFrom="paragraph">
                    <wp:posOffset>374650</wp:posOffset>
                  </wp:positionV>
                  <wp:extent cx="1282065" cy="1235710"/>
                  <wp:effectExtent l="0" t="0" r="13335" b="2540"/>
                  <wp:wrapNone/>
                  <wp:docPr id="22" name="图片_1_SpCnt_1"/>
                  <wp:cNvGraphicFramePr/>
                  <a:graphic xmlns:a="http://schemas.openxmlformats.org/drawingml/2006/main">
                    <a:graphicData uri="http://schemas.openxmlformats.org/drawingml/2006/picture">
                      <pic:pic xmlns:pic="http://schemas.openxmlformats.org/drawingml/2006/picture">
                        <pic:nvPicPr>
                          <pic:cNvPr id="22" name="图片_1_SpCnt_1"/>
                          <pic:cNvPicPr/>
                        </pic:nvPicPr>
                        <pic:blipFill>
                          <a:blip r:embed="rId16"/>
                          <a:stretch>
                            <a:fillRect/>
                          </a:stretch>
                        </pic:blipFill>
                        <pic:spPr>
                          <a:xfrm>
                            <a:off x="0" y="0"/>
                            <a:ext cx="1282065" cy="123571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1400*700*750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3.桌架：采用优质钢材厚度为2.0mm以上，60*60mm三角管门字型腿，表面选用符合环境安全环氧树脂粉体静电喷涂处理，装有可调底脚。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6.颜色：根据整体环境设计。桌面为木纹色（以最终确定色板为准），下部为白色或深灰色，符合人体工程学设计，实用性强，时尚雅致，环保舒适。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7.结构：配置键盘抽、置物柜，台面配一个铝合金翻转毛刷线盒。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医生办公桌2</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392430</wp:posOffset>
                  </wp:positionV>
                  <wp:extent cx="1282700" cy="1237615"/>
                  <wp:effectExtent l="0" t="0" r="12700" b="635"/>
                  <wp:wrapNone/>
                  <wp:docPr id="23" name="图片_1_SpCnt_2"/>
                  <wp:cNvGraphicFramePr/>
                  <a:graphic xmlns:a="http://schemas.openxmlformats.org/drawingml/2006/main">
                    <a:graphicData uri="http://schemas.openxmlformats.org/drawingml/2006/picture">
                      <pic:pic xmlns:pic="http://schemas.openxmlformats.org/drawingml/2006/picture">
                        <pic:nvPicPr>
                          <pic:cNvPr id="23" name="图片_1_SpCnt_2"/>
                          <pic:cNvPicPr/>
                        </pic:nvPicPr>
                        <pic:blipFill>
                          <a:blip r:embed="rId16"/>
                          <a:stretch>
                            <a:fillRect/>
                          </a:stretch>
                        </pic:blipFill>
                        <pic:spPr>
                          <a:xfrm>
                            <a:off x="0" y="0"/>
                            <a:ext cx="1282700" cy="123761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1200*600*750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3.桌架：采用优质钢材厚度为2.0mm以上，60*60mm三角管门字型腿，表面选用符合环境安全环氧树脂粉体静电喷涂处理，装有可调底脚。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6.颜色：根据整体环境设计。桌面为木纹色（以最终确定色板为准），下部为白色或深灰色，符合人体工程学设计，实用性强，时尚雅致，环保舒适。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7.结构：配置键盘抽、置物柜，台面配一个铝合金翻转毛刷线盒。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办公椅</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440690</wp:posOffset>
                  </wp:positionH>
                  <wp:positionV relativeFrom="paragraph">
                    <wp:posOffset>214630</wp:posOffset>
                  </wp:positionV>
                  <wp:extent cx="635635" cy="910590"/>
                  <wp:effectExtent l="0" t="0" r="12065" b="3810"/>
                  <wp:wrapNone/>
                  <wp:docPr id="24" name="图片_2"/>
                  <wp:cNvGraphicFramePr/>
                  <a:graphic xmlns:a="http://schemas.openxmlformats.org/drawingml/2006/main">
                    <a:graphicData uri="http://schemas.openxmlformats.org/drawingml/2006/picture">
                      <pic:pic xmlns:pic="http://schemas.openxmlformats.org/drawingml/2006/picture">
                        <pic:nvPicPr>
                          <pic:cNvPr id="24" name="图片_2"/>
                          <pic:cNvPicPr/>
                        </pic:nvPicPr>
                        <pic:blipFill>
                          <a:blip r:embed="rId17"/>
                          <a:stretch>
                            <a:fillRect/>
                          </a:stretch>
                        </pic:blipFill>
                        <pic:spPr>
                          <a:xfrm>
                            <a:off x="0" y="0"/>
                            <a:ext cx="635635" cy="91059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1.面料：靠背为专业办公防尘网饰面，座包为优质韩皮饰面。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2.海绵：50#密度一体成型棉，30万次冲压耐久测试不变形，符合国家现行标准。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3.靠背扶手：全新PP加纤背框，</w:t>
            </w:r>
            <w:r>
              <w:rPr>
                <w:rStyle w:val="26"/>
                <w:bdr w:val="none" w:color="auto" w:sz="0" w:space="0"/>
                <w:lang w:val="en-US" w:eastAsia="zh-CN" w:bidi="ar"/>
              </w:rPr>
              <w:t>固定腰靠，PP加纤扶手。</w:t>
            </w:r>
            <w:r>
              <w:rPr>
                <w:rStyle w:val="26"/>
                <w:bdr w:val="none" w:color="auto" w:sz="0" w:space="0"/>
                <w:lang w:val="en-US" w:eastAsia="zh-CN" w:bidi="ar"/>
              </w:rPr>
              <w:br w:type="textWrapping"/>
            </w:r>
            <w:r>
              <w:rPr>
                <w:rStyle w:val="26"/>
                <w:bdr w:val="none" w:color="auto" w:sz="0" w:space="0"/>
                <w:lang w:val="en-US" w:eastAsia="zh-CN" w:bidi="ar"/>
              </w:rPr>
              <w:t>4.座板：15mm-20mm密度≥600KG/m3经高温蒸煮、层压、干燥，不虫蛀、变形、霉变。</w:t>
            </w:r>
            <w:r>
              <w:rPr>
                <w:rStyle w:val="26"/>
                <w:bdr w:val="none" w:color="auto" w:sz="0" w:space="0"/>
                <w:lang w:val="en-US" w:eastAsia="zh-CN" w:bidi="ar"/>
              </w:rPr>
              <w:br w:type="textWrapping"/>
            </w:r>
            <w:r>
              <w:rPr>
                <w:rStyle w:val="26"/>
                <w:bdr w:val="none" w:color="auto" w:sz="0" w:space="0"/>
                <w:lang w:val="en-US" w:eastAsia="zh-CN" w:bidi="ar"/>
              </w:rPr>
              <w:t>5.椅架：Φ25mm钢管架,管壁2mm厚。</w:t>
            </w:r>
            <w:r>
              <w:rPr>
                <w:rStyle w:val="26"/>
                <w:bdr w:val="none" w:color="auto" w:sz="0" w:space="0"/>
                <w:lang w:val="en-US" w:eastAsia="zh-CN" w:bidi="ar"/>
              </w:rPr>
              <w:br w:type="textWrapping"/>
            </w:r>
            <w:r>
              <w:rPr>
                <w:rStyle w:val="26"/>
                <w:bdr w:val="none" w:color="auto" w:sz="0" w:space="0"/>
                <w:lang w:val="en-US" w:eastAsia="zh-CN" w:bidi="ar"/>
              </w:rPr>
              <w:t>6.产品质量符合国家QB/T 2280-2016办公椅标准。</w:t>
            </w:r>
            <w:r>
              <w:rPr>
                <w:rStyle w:val="26"/>
                <w:bdr w:val="none" w:color="auto" w:sz="0" w:space="0"/>
                <w:lang w:val="en-US" w:eastAsia="zh-CN" w:bidi="ar"/>
              </w:rPr>
              <w:br w:type="textWrapping"/>
            </w:r>
            <w:r>
              <w:rPr>
                <w:rStyle w:val="26"/>
                <w:bdr w:val="none" w:color="auto" w:sz="0" w:space="0"/>
                <w:lang w:val="en-US" w:eastAsia="zh-CN" w:bidi="ar"/>
              </w:rPr>
              <w:t>7.各部件安全、环保及各项理化要求必须符合国家现行相关标准。</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主任办公桌</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109220</wp:posOffset>
                  </wp:positionH>
                  <wp:positionV relativeFrom="paragraph">
                    <wp:posOffset>675005</wp:posOffset>
                  </wp:positionV>
                  <wp:extent cx="1358265" cy="750570"/>
                  <wp:effectExtent l="0" t="0" r="13335" b="11430"/>
                  <wp:wrapNone/>
                  <wp:docPr id="25" name="图片_3"/>
                  <wp:cNvGraphicFramePr/>
                  <a:graphic xmlns:a="http://schemas.openxmlformats.org/drawingml/2006/main">
                    <a:graphicData uri="http://schemas.openxmlformats.org/drawingml/2006/picture">
                      <pic:pic xmlns:pic="http://schemas.openxmlformats.org/drawingml/2006/picture">
                        <pic:nvPicPr>
                          <pic:cNvPr id="25" name="图片_3"/>
                          <pic:cNvPicPr/>
                        </pic:nvPicPr>
                        <pic:blipFill>
                          <a:blip r:embed="rId18"/>
                          <a:stretch>
                            <a:fillRect/>
                          </a:stretch>
                        </pic:blipFill>
                        <pic:spPr>
                          <a:xfrm>
                            <a:off x="0" y="0"/>
                            <a:ext cx="1358265" cy="75057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主桌1500*700*750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副柜1200*450*650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3.桌架：采用优质钢材厚度为2.0mm以上，60*60mm三角管口字型腿，表面选用符合环境安全环氧树脂粉体静电喷涂处理，装有可调底脚。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6.颜色：根据整体环境设计。桌面为木纹色（以最终确定色板为准），下部为白色或深灰色，符合人体工程学设计，实用性强，时尚雅致，环保舒适。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7.结构：配置键盘抽、长副柜（带滑轮），台面配一个铝合金翻转毛刷线盒。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主任文件柜</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335915</wp:posOffset>
                  </wp:positionV>
                  <wp:extent cx="1010285" cy="1057275"/>
                  <wp:effectExtent l="0" t="0" r="18415" b="9525"/>
                  <wp:wrapNone/>
                  <wp:docPr id="26" name="图片_2_SpCnt_1"/>
                  <wp:cNvGraphicFramePr/>
                  <a:graphic xmlns:a="http://schemas.openxmlformats.org/drawingml/2006/main">
                    <a:graphicData uri="http://schemas.openxmlformats.org/drawingml/2006/picture">
                      <pic:pic xmlns:pic="http://schemas.openxmlformats.org/drawingml/2006/picture">
                        <pic:nvPicPr>
                          <pic:cNvPr id="26" name="图片_2_SpCnt_1"/>
                          <pic:cNvPicPr/>
                        </pic:nvPicPr>
                        <pic:blipFill>
                          <a:blip r:embed="rId19"/>
                          <a:stretch>
                            <a:fillRect/>
                          </a:stretch>
                        </pic:blipFill>
                        <pic:spPr>
                          <a:xfrm>
                            <a:off x="0" y="0"/>
                            <a:ext cx="1010285" cy="105727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1800*400*1850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2.板材厚度：顶底板厚度≥25mm,其他部分厚度≥16mm.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3.五金配件：采用优质配件，符合相应现行国家标准要求。所有五金配件全部经过防锈、防腐处理。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5.颜色：根据整体环境设计。桌面为木纹色（以最终确定色板为准），符合人体工程学设计，实用性强，时尚雅致，环保舒适。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w:t>
            </w:r>
            <w:r>
              <w:rPr>
                <w:rStyle w:val="26"/>
                <w:bdr w:val="none" w:color="auto" w:sz="0" w:space="0"/>
                <w:lang w:val="en-US" w:eastAsia="zh-CN" w:bidi="ar"/>
              </w:rPr>
              <w:t>.底脚：防水可调。</w:t>
            </w:r>
            <w:r>
              <w:rPr>
                <w:rStyle w:val="26"/>
                <w:bdr w:val="none" w:color="auto" w:sz="0" w:space="0"/>
                <w:lang w:val="en-US" w:eastAsia="zh-CN" w:bidi="ar"/>
              </w:rPr>
              <w:br w:type="textWrapping"/>
            </w:r>
            <w:r>
              <w:rPr>
                <w:rStyle w:val="26"/>
                <w:bdr w:val="none" w:color="auto" w:sz="0" w:space="0"/>
                <w:lang w:val="en-US" w:eastAsia="zh-CN" w:bidi="ar"/>
              </w:rPr>
              <w:t>8.内部结构：内置四层搁板五格储物，含挂衣区，金属挂衣杆，置鞋区，含穿衣镜。</w:t>
            </w:r>
            <w:r>
              <w:rPr>
                <w:rStyle w:val="26"/>
                <w:bdr w:val="none" w:color="auto" w:sz="0" w:space="0"/>
                <w:lang w:val="en-US" w:eastAsia="zh-CN" w:bidi="ar"/>
              </w:rPr>
              <w:br w:type="textWrapping"/>
            </w:r>
            <w:r>
              <w:rPr>
                <w:rStyle w:val="26"/>
                <w:bdr w:val="none" w:color="auto" w:sz="0" w:space="0"/>
                <w:lang w:val="en-US" w:eastAsia="zh-CN" w:bidi="ar"/>
              </w:rPr>
              <w:t>9.玻璃：厚度6mm，钢化处理。</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主任椅</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282575</wp:posOffset>
                  </wp:positionH>
                  <wp:positionV relativeFrom="paragraph">
                    <wp:posOffset>119380</wp:posOffset>
                  </wp:positionV>
                  <wp:extent cx="860425" cy="972820"/>
                  <wp:effectExtent l="0" t="0" r="15875" b="17780"/>
                  <wp:wrapNone/>
                  <wp:docPr id="27" name="图片_116"/>
                  <wp:cNvGraphicFramePr/>
                  <a:graphic xmlns:a="http://schemas.openxmlformats.org/drawingml/2006/main">
                    <a:graphicData uri="http://schemas.openxmlformats.org/drawingml/2006/picture">
                      <pic:pic xmlns:pic="http://schemas.openxmlformats.org/drawingml/2006/picture">
                        <pic:nvPicPr>
                          <pic:cNvPr id="27" name="图片_116"/>
                          <pic:cNvPicPr/>
                        </pic:nvPicPr>
                        <pic:blipFill>
                          <a:blip r:embed="rId20"/>
                          <a:stretch>
                            <a:fillRect/>
                          </a:stretch>
                        </pic:blipFill>
                        <pic:spPr>
                          <a:xfrm>
                            <a:off x="0" y="0"/>
                            <a:ext cx="860425" cy="97282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1.面料：优质韩皮。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2.海棉：采用50#密度一体成型棉，30万次冲压耐久测试不变形，符合国家现行标准。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3.曲木板：座垫为多层实木板热压成型，甲醛释量符合E1级国家标准GB 18580-2017；                                                                                                                   4.椅架：电镀弓形架+皮面扶手，高标准电镀带套管弓形架，管壁厚度：2.0mm。                                                                                                                                                                                                                                                                                                                                                                          5.产品质量符合国家QB/T 2280-2016办公椅标准。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6.各部件安全、环保及各项理化要求必须符合国家现行相关标准。</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主任接待椅</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409575</wp:posOffset>
                  </wp:positionH>
                  <wp:positionV relativeFrom="paragraph">
                    <wp:posOffset>273050</wp:posOffset>
                  </wp:positionV>
                  <wp:extent cx="638175" cy="875665"/>
                  <wp:effectExtent l="0" t="0" r="9525" b="635"/>
                  <wp:wrapNone/>
                  <wp:docPr id="28" name="图片_117"/>
                  <wp:cNvGraphicFramePr/>
                  <a:graphic xmlns:a="http://schemas.openxmlformats.org/drawingml/2006/main">
                    <a:graphicData uri="http://schemas.openxmlformats.org/drawingml/2006/picture">
                      <pic:pic xmlns:pic="http://schemas.openxmlformats.org/drawingml/2006/picture">
                        <pic:nvPicPr>
                          <pic:cNvPr id="28" name="图片_117"/>
                          <pic:cNvPicPr/>
                        </pic:nvPicPr>
                        <pic:blipFill>
                          <a:blip r:embed="rId21"/>
                          <a:stretch>
                            <a:fillRect/>
                          </a:stretch>
                        </pic:blipFill>
                        <pic:spPr>
                          <a:xfrm>
                            <a:off x="0" y="0"/>
                            <a:ext cx="638175" cy="87566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1.面料：靠背为专业办公防尘网饰面，坐垫为优质韩皮。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2.海绵：采用50#密度一体成型棉，30万次冲压耐久测试不变形，符合国家现行标准。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3.靠背扶手：全新PP加纤背框，固定腰靠，皮面固定扶手。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4.座板：15mm-20mm密度≥600KG/m3经高温蒸煮、层压、干燥，不虫蛀、变形、霉变。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5.椅架：Φ25mm钢管架,管壁2mm厚。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6.产品质量符合国家QB/T 2280-2016办公椅标准。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7.各部件安全、环保及各项理化要求必须符合国家现行相关标准。</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主任沙发</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183515</wp:posOffset>
                  </wp:positionH>
                  <wp:positionV relativeFrom="paragraph">
                    <wp:posOffset>87630</wp:posOffset>
                  </wp:positionV>
                  <wp:extent cx="1195705" cy="825500"/>
                  <wp:effectExtent l="0" t="0" r="4445" b="12700"/>
                  <wp:wrapNone/>
                  <wp:docPr id="21" name="图片_3_SpCnt_1"/>
                  <wp:cNvGraphicFramePr/>
                  <a:graphic xmlns:a="http://schemas.openxmlformats.org/drawingml/2006/main">
                    <a:graphicData uri="http://schemas.openxmlformats.org/drawingml/2006/picture">
                      <pic:pic xmlns:pic="http://schemas.openxmlformats.org/drawingml/2006/picture">
                        <pic:nvPicPr>
                          <pic:cNvPr id="21" name="图片_3_SpCnt_1"/>
                          <pic:cNvPicPr/>
                        </pic:nvPicPr>
                        <pic:blipFill>
                          <a:blip r:embed="rId22"/>
                          <a:stretch>
                            <a:fillRect/>
                          </a:stretch>
                        </pic:blipFill>
                        <pic:spPr>
                          <a:xfrm>
                            <a:off x="0" y="0"/>
                            <a:ext cx="1195705" cy="82550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2130*770*780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1.面料：选用优质环保皮，皮面柔软而富有韧性，手感舒适。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2.内架：优质白桦、松木等实木，经过蒸压煮、烘干、杀菌、杀虫处理，含水率符合所在地区年平均木材平衡含水率，内置蛇形弹簧及弹力绷带。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3.辅料：采用通过GB/T10802-2006技术标准的高回弹切割泡棉，开模注压定型，表面有一层保护面，可防氧化，防碎，经过HD测试永不变形。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4.底脚：采用锌合金底脚，底部塑胶防水脚钉。</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主任休息床</w:t>
            </w:r>
          </w:p>
        </w:tc>
        <w:tc>
          <w:tcPr>
            <w:tcW w:w="2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50800</wp:posOffset>
                  </wp:positionH>
                  <wp:positionV relativeFrom="paragraph">
                    <wp:posOffset>1071880</wp:posOffset>
                  </wp:positionV>
                  <wp:extent cx="1421130" cy="1143635"/>
                  <wp:effectExtent l="0" t="0" r="7620" b="18415"/>
                  <wp:wrapNone/>
                  <wp:docPr id="20" name="图片_6"/>
                  <wp:cNvGraphicFramePr/>
                  <a:graphic xmlns:a="http://schemas.openxmlformats.org/drawingml/2006/main">
                    <a:graphicData uri="http://schemas.openxmlformats.org/drawingml/2006/picture">
                      <pic:pic xmlns:pic="http://schemas.openxmlformats.org/drawingml/2006/picture">
                        <pic:nvPicPr>
                          <pic:cNvPr id="20" name="图片_6"/>
                          <pic:cNvPicPr/>
                        </pic:nvPicPr>
                        <pic:blipFill>
                          <a:blip r:embed="rId23"/>
                          <a:stretch>
                            <a:fillRect/>
                          </a:stretch>
                        </pic:blipFill>
                        <pic:spPr>
                          <a:xfrm>
                            <a:off x="0" y="0"/>
                            <a:ext cx="1421130" cy="114363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2000*900*1060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5.底脚：采用塑胶防水可调平衡底脚。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6.不含床垫。</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主任床头柜</w:t>
            </w:r>
          </w:p>
        </w:tc>
        <w:tc>
          <w:tcPr>
            <w:tcW w:w="2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400*400*520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5.底脚：采用塑胶防水可调平衡底脚。</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长茶几</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135890</wp:posOffset>
                  </wp:positionH>
                  <wp:positionV relativeFrom="paragraph">
                    <wp:posOffset>75565</wp:posOffset>
                  </wp:positionV>
                  <wp:extent cx="1213485" cy="801370"/>
                  <wp:effectExtent l="0" t="0" r="5715" b="17780"/>
                  <wp:wrapNone/>
                  <wp:docPr id="36" name="图片_17"/>
                  <wp:cNvGraphicFramePr/>
                  <a:graphic xmlns:a="http://schemas.openxmlformats.org/drawingml/2006/main">
                    <a:graphicData uri="http://schemas.openxmlformats.org/drawingml/2006/picture">
                      <pic:pic xmlns:pic="http://schemas.openxmlformats.org/drawingml/2006/picture">
                        <pic:nvPicPr>
                          <pic:cNvPr id="36" name="图片_17"/>
                          <pic:cNvPicPr/>
                        </pic:nvPicPr>
                        <pic:blipFill>
                          <a:blip r:embed="rId24"/>
                          <a:stretch>
                            <a:fillRect/>
                          </a:stretch>
                        </pic:blipFill>
                        <pic:spPr>
                          <a:xfrm>
                            <a:off x="0" y="0"/>
                            <a:ext cx="1213485" cy="80137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1200*600*450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3.脚架：采用优质钢材厚度为2.0mm以上，门字型腿，表面喷塑处理，底部安装塑胶防水底脚。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4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收费三抽桌</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101600</wp:posOffset>
                  </wp:positionH>
                  <wp:positionV relativeFrom="paragraph">
                    <wp:posOffset>401320</wp:posOffset>
                  </wp:positionV>
                  <wp:extent cx="1346835" cy="1035050"/>
                  <wp:effectExtent l="0" t="0" r="5715" b="12700"/>
                  <wp:wrapNone/>
                  <wp:docPr id="37" name="图片_6_SpCnt_1"/>
                  <wp:cNvGraphicFramePr/>
                  <a:graphic xmlns:a="http://schemas.openxmlformats.org/drawingml/2006/main">
                    <a:graphicData uri="http://schemas.openxmlformats.org/drawingml/2006/picture">
                      <pic:pic xmlns:pic="http://schemas.openxmlformats.org/drawingml/2006/picture">
                        <pic:nvPicPr>
                          <pic:cNvPr id="37" name="图片_6_SpCnt_1"/>
                          <pic:cNvPicPr/>
                        </pic:nvPicPr>
                        <pic:blipFill>
                          <a:blip r:embed="rId25"/>
                          <a:stretch>
                            <a:fillRect/>
                          </a:stretch>
                        </pic:blipFill>
                        <pic:spPr>
                          <a:xfrm>
                            <a:off x="0" y="0"/>
                            <a:ext cx="1346835" cy="103505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1400*600*750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3.桌架：采用优质钢材厚度为2.0mm以上，60*60mm三角管门字型腿，表面选用符合环境安全环氧树脂粉体静电喷涂处理，装有可调底脚。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6.颜色：根据整体环境设计。桌面为木纹色（以最终确定色板为准），下部为白色或深灰色，符合人体工程学设计，实用性强，时尚雅致，环保舒适。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7.结构：配置键盘抽、置物柜，台面配一个铝合金翻转毛刷线盒。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收费转椅</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299085</wp:posOffset>
                  </wp:positionH>
                  <wp:positionV relativeFrom="paragraph">
                    <wp:posOffset>478155</wp:posOffset>
                  </wp:positionV>
                  <wp:extent cx="894715" cy="1108075"/>
                  <wp:effectExtent l="0" t="0" r="635" b="15875"/>
                  <wp:wrapNone/>
                  <wp:docPr id="38" name="图片_1_SpCnt_3"/>
                  <wp:cNvGraphicFramePr/>
                  <a:graphic xmlns:a="http://schemas.openxmlformats.org/drawingml/2006/main">
                    <a:graphicData uri="http://schemas.openxmlformats.org/drawingml/2006/picture">
                      <pic:pic xmlns:pic="http://schemas.openxmlformats.org/drawingml/2006/picture">
                        <pic:nvPicPr>
                          <pic:cNvPr id="38" name="图片_1_SpCnt_3"/>
                          <pic:cNvPicPr/>
                        </pic:nvPicPr>
                        <pic:blipFill>
                          <a:blip r:embed="rId26"/>
                          <a:stretch>
                            <a:fillRect/>
                          </a:stretch>
                        </pic:blipFill>
                        <pic:spPr>
                          <a:xfrm>
                            <a:off x="0" y="0"/>
                            <a:ext cx="894715" cy="110807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1.面料：靠背为专业办公防尘网饰面，座包为优质韩皮饰面。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2.海绵：50#密度一体成型棉，30万次冲压耐久测试不变形，符合国家现行标准。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3.靠背扶手：全新PP加纤背框，固定腰靠，PP加纤扶手。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4.座板：15mm-20mm密度≥600KG/m3经高温蒸煮、层压、干燥，不虫蛀、变形、霉变。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5.单功能底盘。耐久性测试30万次，机构运动无干涉无噪音。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6.100#沉口50mm黑色汽杆。可承受300kg压力，升降轻便灵活，螺旋机构的升降配合良好，气动升降平稳、无漏气、无燥音，升降30万次无故障。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7.∮340尼龙五星脚架。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8.φ50mm黑色尼龙轮。采用增强尼龙66%加34%纤维重型轮，在受压迫750磅下往复12万次不损坏，移动杂音小，耐磨性大。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9.产品质量符合国家QB/T 2280-2016办公椅标准。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10.各部件安全、环保及各项理化要求必须符合国家现行相关标准。</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诊桌</w:t>
            </w:r>
          </w:p>
        </w:tc>
        <w:tc>
          <w:tcPr>
            <w:tcW w:w="2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690880</wp:posOffset>
                  </wp:positionV>
                  <wp:extent cx="1238885" cy="758825"/>
                  <wp:effectExtent l="0" t="0" r="18415" b="3175"/>
                  <wp:wrapNone/>
                  <wp:docPr id="33" name="图片_3_SpCnt_2"/>
                  <wp:cNvGraphicFramePr/>
                  <a:graphic xmlns:a="http://schemas.openxmlformats.org/drawingml/2006/main">
                    <a:graphicData uri="http://schemas.openxmlformats.org/drawingml/2006/picture">
                      <pic:pic xmlns:pic="http://schemas.openxmlformats.org/drawingml/2006/picture">
                        <pic:nvPicPr>
                          <pic:cNvPr id="33" name="图片_3_SpCnt_2"/>
                          <pic:cNvPicPr/>
                        </pic:nvPicPr>
                        <pic:blipFill>
                          <a:blip r:embed="rId27"/>
                          <a:stretch>
                            <a:fillRect/>
                          </a:stretch>
                        </pic:blipFill>
                        <pic:spPr>
                          <a:xfrm>
                            <a:off x="0" y="0"/>
                            <a:ext cx="1238885" cy="75882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主桌1400*600*750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副柜（可活动）800*450*650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73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3.桌架：采用优质钢材厚度为2.0mm以上，60*60mm三角管门字型腿，表面选用符合环境安全环氧树脂粉体静电喷涂处理，装有可调底脚。</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6.颜色：根据整体环境设计。桌面为木纹色（以最终确定色板为准），下部为白色或深灰色，符合人体工程学设计，实用性强，时尚雅致，环保舒适。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7.结构：配置键盘抽（每个抽屉带单独锁）、可活动副柜（带滑轮），台面配一个铝合金翻转毛刷线盒。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诊桌（不含副柜）</w:t>
            </w:r>
          </w:p>
        </w:tc>
        <w:tc>
          <w:tcPr>
            <w:tcW w:w="2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1400*600*750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73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诊椅</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463550</wp:posOffset>
                  </wp:positionH>
                  <wp:positionV relativeFrom="paragraph">
                    <wp:posOffset>46355</wp:posOffset>
                  </wp:positionV>
                  <wp:extent cx="663575" cy="910590"/>
                  <wp:effectExtent l="0" t="0" r="3175" b="3810"/>
                  <wp:wrapNone/>
                  <wp:docPr id="39" name="图片_7"/>
                  <wp:cNvGraphicFramePr/>
                  <a:graphic xmlns:a="http://schemas.openxmlformats.org/drawingml/2006/main">
                    <a:graphicData uri="http://schemas.openxmlformats.org/drawingml/2006/picture">
                      <pic:pic xmlns:pic="http://schemas.openxmlformats.org/drawingml/2006/picture">
                        <pic:nvPicPr>
                          <pic:cNvPr id="39" name="图片_7"/>
                          <pic:cNvPicPr/>
                        </pic:nvPicPr>
                        <pic:blipFill>
                          <a:blip r:embed="rId28"/>
                          <a:stretch>
                            <a:fillRect/>
                          </a:stretch>
                        </pic:blipFill>
                        <pic:spPr>
                          <a:xfrm>
                            <a:off x="0" y="0"/>
                            <a:ext cx="663575" cy="91059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1.面料：座面、椅背采用优质韩皮饰面；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2.海绵：采用50#密度一体成型棉，30万次冲压耐久测试不变形，符合国家现行标准。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3.椅架：2.0MM厚电镀光亮方铁管。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4.座板：15mm-20mm密度≥600KG/m3经高温蒸煮、层压、干燥，不虫蛀、变形、霉变。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5.产品质量符合国家QB/T 2280-2016办公椅标准。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6.各部件安全、环保及各项理化要求必须符合国家现行相关标准。</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圆转椅</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375285</wp:posOffset>
                  </wp:positionH>
                  <wp:positionV relativeFrom="paragraph">
                    <wp:posOffset>117475</wp:posOffset>
                  </wp:positionV>
                  <wp:extent cx="863600" cy="911860"/>
                  <wp:effectExtent l="0" t="0" r="12700" b="2540"/>
                  <wp:wrapNone/>
                  <wp:docPr id="30" name="图片_3_SpCnt_3"/>
                  <wp:cNvGraphicFramePr/>
                  <a:graphic xmlns:a="http://schemas.openxmlformats.org/drawingml/2006/main">
                    <a:graphicData uri="http://schemas.openxmlformats.org/drawingml/2006/picture">
                      <pic:pic xmlns:pic="http://schemas.openxmlformats.org/drawingml/2006/picture">
                        <pic:nvPicPr>
                          <pic:cNvPr id="30" name="图片_3_SpCnt_3"/>
                          <pic:cNvPicPr/>
                        </pic:nvPicPr>
                        <pic:blipFill>
                          <a:blip r:embed="rId29"/>
                          <a:stretch>
                            <a:fillRect/>
                          </a:stretch>
                        </pic:blipFill>
                        <pic:spPr>
                          <a:xfrm>
                            <a:off x="0" y="0"/>
                            <a:ext cx="863600" cy="91186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Φ340*180~630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1.PU皮质坐面；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2.经过SGS认证升降气杆，可升降金属配件，安全舒适；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3.优质滑轮，韧性强，牢固性好，移动杂音小，耐磨性大。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4.各部件安全、环保及各项理化要求必须符合国家现行相关标准。</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茶水柜</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264795</wp:posOffset>
                  </wp:positionV>
                  <wp:extent cx="971550" cy="832485"/>
                  <wp:effectExtent l="0" t="0" r="0" b="5715"/>
                  <wp:wrapNone/>
                  <wp:docPr id="34" name="图片_2_SpCnt_2"/>
                  <wp:cNvGraphicFramePr/>
                  <a:graphic xmlns:a="http://schemas.openxmlformats.org/drawingml/2006/main">
                    <a:graphicData uri="http://schemas.openxmlformats.org/drawingml/2006/picture">
                      <pic:pic xmlns:pic="http://schemas.openxmlformats.org/drawingml/2006/picture">
                        <pic:nvPicPr>
                          <pic:cNvPr id="34" name="图片_2_SpCnt_2"/>
                          <pic:cNvPicPr/>
                        </pic:nvPicPr>
                        <pic:blipFill>
                          <a:blip r:embed="rId30"/>
                          <a:stretch>
                            <a:fillRect/>
                          </a:stretch>
                        </pic:blipFill>
                        <pic:spPr>
                          <a:xfrm>
                            <a:off x="0" y="0"/>
                            <a:ext cx="971550" cy="83248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800*400*860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5.底脚：采用塑胶防水底脚。</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8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诊室柜</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361950</wp:posOffset>
                  </wp:positionH>
                  <wp:positionV relativeFrom="paragraph">
                    <wp:posOffset>180340</wp:posOffset>
                  </wp:positionV>
                  <wp:extent cx="627380" cy="1047750"/>
                  <wp:effectExtent l="0" t="0" r="1270" b="0"/>
                  <wp:wrapNone/>
                  <wp:docPr id="35" name="图片_23"/>
                  <wp:cNvGraphicFramePr/>
                  <a:graphic xmlns:a="http://schemas.openxmlformats.org/drawingml/2006/main">
                    <a:graphicData uri="http://schemas.openxmlformats.org/drawingml/2006/picture">
                      <pic:pic xmlns:pic="http://schemas.openxmlformats.org/drawingml/2006/picture">
                        <pic:nvPicPr>
                          <pic:cNvPr id="35" name="图片_23"/>
                          <pic:cNvPicPr/>
                        </pic:nvPicPr>
                        <pic:blipFill>
                          <a:blip r:embed="rId31"/>
                          <a:stretch>
                            <a:fillRect/>
                          </a:stretch>
                        </pic:blipFill>
                        <pic:spPr>
                          <a:xfrm>
                            <a:off x="0" y="0"/>
                            <a:ext cx="627380" cy="104775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970*420*1850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1.采用一级冷轧钢板通过GB/T13668-2003技术标准，厚度≥0.8mm一级冷轧钢板裸板。表面进行静电喷涂处理。涂装后产品符合GB/T3325-2017标准。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w:t>
            </w:r>
            <w:r>
              <w:rPr>
                <w:rStyle w:val="26"/>
                <w:bdr w:val="none" w:color="auto" w:sz="0" w:space="0"/>
                <w:lang w:val="en-US" w:eastAsia="zh-CN" w:bidi="ar"/>
              </w:rPr>
              <w:t xml:space="preserve">.内部结构：所有搁板、背板及侧板三边折弯采用无缝焊接工艺。搁4层隔板五层储物，挂衣区含挂衣杆、置鞋区。 </w:t>
            </w:r>
            <w:r>
              <w:rPr>
                <w:rStyle w:val="26"/>
                <w:bdr w:val="none" w:color="auto" w:sz="0" w:space="0"/>
                <w:lang w:val="en-US" w:eastAsia="zh-CN" w:bidi="ar"/>
              </w:rPr>
              <w:br w:type="textWrapping"/>
            </w:r>
            <w:r>
              <w:rPr>
                <w:rStyle w:val="26"/>
                <w:bdr w:val="none" w:color="auto" w:sz="0" w:space="0"/>
                <w:lang w:val="en-US" w:eastAsia="zh-CN" w:bidi="ar"/>
              </w:rPr>
              <w:t>3.玻璃：钢化处理，厚度≥5mm.</w:t>
            </w:r>
            <w:r>
              <w:rPr>
                <w:rStyle w:val="26"/>
                <w:bdr w:val="none" w:color="auto" w:sz="0" w:space="0"/>
                <w:lang w:val="en-US" w:eastAsia="zh-CN" w:bidi="ar"/>
              </w:rPr>
              <w:br w:type="textWrapping"/>
            </w:r>
            <w:r>
              <w:rPr>
                <w:rStyle w:val="26"/>
                <w:bdr w:val="none" w:color="auto" w:sz="0" w:space="0"/>
                <w:lang w:val="en-US" w:eastAsia="zh-CN" w:bidi="ar"/>
              </w:rPr>
              <w:t>4.铰链：采用优质铰链，符合国家现行标准。</w:t>
            </w:r>
            <w:r>
              <w:rPr>
                <w:rStyle w:val="26"/>
                <w:bdr w:val="none" w:color="auto" w:sz="0" w:space="0"/>
                <w:lang w:val="en-US" w:eastAsia="zh-CN" w:bidi="ar"/>
              </w:rPr>
              <w:br w:type="textWrapping"/>
            </w:r>
            <w:r>
              <w:rPr>
                <w:rStyle w:val="26"/>
                <w:bdr w:val="none" w:color="auto" w:sz="0" w:space="0"/>
                <w:lang w:val="en-US" w:eastAsia="zh-CN" w:bidi="ar"/>
              </w:rPr>
              <w:t>5.锁具：采用优质锁具，符合国家现行标准。</w:t>
            </w:r>
            <w:r>
              <w:rPr>
                <w:rStyle w:val="26"/>
                <w:bdr w:val="none" w:color="auto" w:sz="0" w:space="0"/>
                <w:lang w:val="en-US" w:eastAsia="zh-CN" w:bidi="ar"/>
              </w:rPr>
              <w:br w:type="textWrapping"/>
            </w:r>
            <w:r>
              <w:rPr>
                <w:rStyle w:val="26"/>
                <w:bdr w:val="none" w:color="auto" w:sz="0" w:space="0"/>
                <w:lang w:val="en-US" w:eastAsia="zh-CN" w:bidi="ar"/>
              </w:rPr>
              <w:t xml:space="preserve">6.拉手：采用符合技术标准专用拉手。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检查床</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173355</wp:posOffset>
                  </wp:positionH>
                  <wp:positionV relativeFrom="paragraph">
                    <wp:posOffset>65405</wp:posOffset>
                  </wp:positionV>
                  <wp:extent cx="1141730" cy="785495"/>
                  <wp:effectExtent l="0" t="0" r="1270" b="14605"/>
                  <wp:wrapNone/>
                  <wp:docPr id="31" name="图片_12"/>
                  <wp:cNvGraphicFramePr/>
                  <a:graphic xmlns:a="http://schemas.openxmlformats.org/drawingml/2006/main">
                    <a:graphicData uri="http://schemas.openxmlformats.org/drawingml/2006/picture">
                      <pic:pic xmlns:pic="http://schemas.openxmlformats.org/drawingml/2006/picture">
                        <pic:nvPicPr>
                          <pic:cNvPr id="31" name="图片_12"/>
                          <pic:cNvPicPr/>
                        </pic:nvPicPr>
                        <pic:blipFill>
                          <a:blip r:embed="rId32"/>
                          <a:stretch>
                            <a:fillRect/>
                          </a:stretch>
                        </pic:blipFill>
                        <pic:spPr>
                          <a:xfrm>
                            <a:off x="0" y="0"/>
                            <a:ext cx="1141730" cy="78549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1900*650*550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1.海绵：采用优质的高回弹切割泡棉，软硬适中，不变形，50#密度，符合国家现行相关标准。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2.采用西皮包裹。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3.脚架：采用</w:t>
            </w:r>
            <w:r>
              <w:rPr>
                <w:rStyle w:val="26"/>
                <w:bdr w:val="none" w:color="auto" w:sz="0" w:space="0"/>
                <w:lang w:val="en-US" w:eastAsia="zh-CN" w:bidi="ar"/>
              </w:rPr>
              <w:t xml:space="preserve">60*60mm钢制脚架门字型腿,钢管壁厚≥2mm。                                                                        4.表面喷塑处理，底部安装塑胶防水底脚。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4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架子床</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132715</wp:posOffset>
                  </wp:positionH>
                  <wp:positionV relativeFrom="paragraph">
                    <wp:posOffset>339090</wp:posOffset>
                  </wp:positionV>
                  <wp:extent cx="1301750" cy="1206500"/>
                  <wp:effectExtent l="0" t="0" r="12700" b="12700"/>
                  <wp:wrapNone/>
                  <wp:docPr id="32" name="图片_27"/>
                  <wp:cNvGraphicFramePr/>
                  <a:graphic xmlns:a="http://schemas.openxmlformats.org/drawingml/2006/main">
                    <a:graphicData uri="http://schemas.openxmlformats.org/drawingml/2006/picture">
                      <pic:pic xmlns:pic="http://schemas.openxmlformats.org/drawingml/2006/picture">
                        <pic:nvPicPr>
                          <pic:cNvPr id="32" name="图片_27"/>
                          <pic:cNvPicPr/>
                        </pic:nvPicPr>
                        <pic:blipFill>
                          <a:blip r:embed="rId33"/>
                          <a:stretch>
                            <a:fillRect/>
                          </a:stretch>
                        </pic:blipFill>
                        <pic:spPr>
                          <a:xfrm>
                            <a:off x="0" y="0"/>
                            <a:ext cx="1301750" cy="120650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2000*900*1800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1.架子床床腿：床腿40*40mm方形钢管，壁厚1.5mm，底部设有优质橡胶脚垫；床头为导弧安全防撞设计，符合安全设计。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2.床框：采用25*50mm，壁厚2.0mm的优质钢管；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3.床板：20mm优质实木多层板，清漆封边，表面光滑、干燥美观，负荷强度大于200公斤，甲醛释放量符合国标；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4.床板横撑：5根20*20mm壁厚2.0mm国标方管；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5.护栏：</w:t>
            </w:r>
            <w:r>
              <w:rPr>
                <w:rStyle w:val="27"/>
                <w:rFonts w:eastAsia="宋体"/>
                <w:bdr w:val="none" w:color="auto" w:sz="0" w:space="0"/>
                <w:lang w:val="en-US" w:eastAsia="zh-CN" w:bidi="ar"/>
              </w:rPr>
              <w:t>Φ</w:t>
            </w:r>
            <w:r>
              <w:rPr>
                <w:rStyle w:val="26"/>
                <w:bdr w:val="none" w:color="auto" w:sz="0" w:space="0"/>
                <w:lang w:val="en-US" w:eastAsia="zh-CN" w:bidi="ar"/>
              </w:rPr>
              <w:t>19*2.0mm圆管焊接，护栏规格1000*240mm。</w:t>
            </w:r>
            <w:r>
              <w:rPr>
                <w:rStyle w:val="26"/>
                <w:bdr w:val="none" w:color="auto" w:sz="0" w:space="0"/>
                <w:lang w:val="en-US" w:eastAsia="zh-CN" w:bidi="ar"/>
              </w:rPr>
              <w:br w:type="textWrapping"/>
            </w:r>
            <w:r>
              <w:rPr>
                <w:rStyle w:val="26"/>
                <w:bdr w:val="none" w:color="auto" w:sz="0" w:space="0"/>
                <w:lang w:val="en-US" w:eastAsia="zh-CN" w:bidi="ar"/>
              </w:rPr>
              <w:t>6.表面喷塑处理。</w:t>
            </w:r>
            <w:r>
              <w:rPr>
                <w:rStyle w:val="26"/>
                <w:bdr w:val="none" w:color="auto" w:sz="0" w:space="0"/>
                <w:lang w:val="en-US" w:eastAsia="zh-CN" w:bidi="ar"/>
              </w:rPr>
              <w:br w:type="textWrapping"/>
            </w:r>
            <w:r>
              <w:rPr>
                <w:rStyle w:val="26"/>
                <w:bdr w:val="none" w:color="auto" w:sz="0" w:space="0"/>
                <w:lang w:val="en-US" w:eastAsia="zh-CN" w:bidi="ar"/>
              </w:rPr>
              <w:t>7.连接方式：床框与床头采用螺栓连接。</w:t>
            </w:r>
            <w:r>
              <w:rPr>
                <w:rStyle w:val="26"/>
                <w:bdr w:val="none" w:color="auto" w:sz="0" w:space="0"/>
                <w:lang w:val="en-US" w:eastAsia="zh-CN" w:bidi="ar"/>
              </w:rPr>
              <w:br w:type="textWrapping"/>
            </w:r>
            <w:r>
              <w:rPr>
                <w:rStyle w:val="26"/>
                <w:bdr w:val="none" w:color="auto" w:sz="0" w:space="0"/>
                <w:lang w:val="en-US" w:eastAsia="zh-CN" w:bidi="ar"/>
              </w:rPr>
              <w:t>8.蚊帐架：蚊帐杆用</w:t>
            </w:r>
            <w:r>
              <w:rPr>
                <w:rStyle w:val="27"/>
                <w:rFonts w:eastAsia="宋体"/>
                <w:bdr w:val="none" w:color="auto" w:sz="0" w:space="0"/>
                <w:lang w:val="en-US" w:eastAsia="zh-CN" w:bidi="ar"/>
              </w:rPr>
              <w:t>Φ</w:t>
            </w:r>
            <w:r>
              <w:rPr>
                <w:rStyle w:val="26"/>
                <w:bdr w:val="none" w:color="auto" w:sz="0" w:space="0"/>
                <w:lang w:val="en-US" w:eastAsia="zh-CN" w:bidi="ar"/>
              </w:rPr>
              <w:t>14*2.0mm圆管焊接成型，横撑两端套塑料脚垫保护。</w:t>
            </w:r>
            <w:r>
              <w:rPr>
                <w:rStyle w:val="26"/>
                <w:bdr w:val="none" w:color="auto" w:sz="0" w:space="0"/>
                <w:lang w:val="en-US" w:eastAsia="zh-CN" w:bidi="ar"/>
              </w:rPr>
              <w:br w:type="textWrapping"/>
            </w:r>
            <w:r>
              <w:rPr>
                <w:rStyle w:val="26"/>
                <w:bdr w:val="none" w:color="auto" w:sz="0" w:space="0"/>
                <w:lang w:val="en-US" w:eastAsia="zh-CN" w:bidi="ar"/>
              </w:rPr>
              <w:t xml:space="preserve">9.爬梯有防滑处理。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4门更衣柜</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641350</wp:posOffset>
                  </wp:positionH>
                  <wp:positionV relativeFrom="paragraph">
                    <wp:posOffset>147955</wp:posOffset>
                  </wp:positionV>
                  <wp:extent cx="398780" cy="765810"/>
                  <wp:effectExtent l="0" t="0" r="1270" b="15240"/>
                  <wp:wrapNone/>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34"/>
                          <a:stretch>
                            <a:fillRect/>
                          </a:stretch>
                        </pic:blipFill>
                        <pic:spPr>
                          <a:xfrm>
                            <a:off x="0" y="0"/>
                            <a:ext cx="398780" cy="76581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900*420*1850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1.采用一级冷轧钢板通过GB/T13668-2003技术标准，厚度≥0.8mm一级冷轧钢板裸板。表面进行静电喷涂处理。涂装后产品符合GB/T3325-2017标准。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2.内部结构：含隔板一层，所有搁板、背板及侧板三边折弯采用无缝焊接工艺。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4.铰链：采用优质铰链，符合国家现行标准。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5.锁具：采用优质锁具，符合国家现行标准。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6.拉手：采用符合技术标准专用拉手。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6门更衣柜</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578485</wp:posOffset>
                  </wp:positionH>
                  <wp:positionV relativeFrom="paragraph">
                    <wp:posOffset>75565</wp:posOffset>
                  </wp:positionV>
                  <wp:extent cx="386715" cy="793750"/>
                  <wp:effectExtent l="0" t="0" r="13335" b="6350"/>
                  <wp:wrapNone/>
                  <wp:docPr id="16" name="图片_24"/>
                  <wp:cNvGraphicFramePr/>
                  <a:graphic xmlns:a="http://schemas.openxmlformats.org/drawingml/2006/main">
                    <a:graphicData uri="http://schemas.openxmlformats.org/drawingml/2006/picture">
                      <pic:pic xmlns:pic="http://schemas.openxmlformats.org/drawingml/2006/picture">
                        <pic:nvPicPr>
                          <pic:cNvPr id="16" name="图片_24"/>
                          <pic:cNvPicPr/>
                        </pic:nvPicPr>
                        <pic:blipFill>
                          <a:blip r:embed="rId35"/>
                          <a:stretch>
                            <a:fillRect/>
                          </a:stretch>
                        </pic:blipFill>
                        <pic:spPr>
                          <a:xfrm>
                            <a:off x="0" y="0"/>
                            <a:ext cx="386715" cy="79375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900*420*1850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1.采用一级冷轧钢板通过GB/T13668-2003技术标准，厚度≥0.8mm一级冷轧钢板裸板。表面进行静电喷涂处理。涂装后产品符合GB/T3325-2017标准。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2.内部结构：含隔板一层，所有搁板、背板及侧板三边折弯采用无缝焊接工艺。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4.铰链：采用优质铰链，符合国家现行标准。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5.锁具：采用优质锁具，符合国家现行标准。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6.拉手：采用符合技术标准专用拉手。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8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文件柜（上玻下门）</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476885</wp:posOffset>
                  </wp:positionH>
                  <wp:positionV relativeFrom="paragraph">
                    <wp:posOffset>299720</wp:posOffset>
                  </wp:positionV>
                  <wp:extent cx="488315" cy="928370"/>
                  <wp:effectExtent l="0" t="0" r="6985" b="5080"/>
                  <wp:wrapNone/>
                  <wp:docPr id="13" name="Picture_1304"/>
                  <wp:cNvGraphicFramePr/>
                  <a:graphic xmlns:a="http://schemas.openxmlformats.org/drawingml/2006/main">
                    <a:graphicData uri="http://schemas.openxmlformats.org/drawingml/2006/picture">
                      <pic:pic xmlns:pic="http://schemas.openxmlformats.org/drawingml/2006/picture">
                        <pic:nvPicPr>
                          <pic:cNvPr id="13" name="Picture_1304"/>
                          <pic:cNvPicPr/>
                        </pic:nvPicPr>
                        <pic:blipFill>
                          <a:blip r:embed="rId36"/>
                          <a:stretch>
                            <a:fillRect/>
                          </a:stretch>
                        </pic:blipFill>
                        <pic:spPr>
                          <a:xfrm>
                            <a:off x="0" y="0"/>
                            <a:ext cx="488315" cy="92837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900*400*1850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1.采用一级冷轧钢板通过GB/T13668-2003技术标准，厚度≥0.8mm一级冷轧钢板裸板。表面进行静电喷涂处理。涂装后产品符合GB/T3325-2017标准。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w:t>
            </w:r>
            <w:r>
              <w:rPr>
                <w:rStyle w:val="26"/>
                <w:bdr w:val="none" w:color="auto" w:sz="0" w:space="0"/>
                <w:lang w:val="en-US" w:eastAsia="zh-CN" w:bidi="ar"/>
              </w:rPr>
              <w:t>.内部结构：所有搁板、背板及侧板三边折弯采用无缝焊接工艺。搁4层隔板五层储物。</w:t>
            </w:r>
            <w:r>
              <w:rPr>
                <w:rStyle w:val="26"/>
                <w:bdr w:val="none" w:color="auto" w:sz="0" w:space="0"/>
                <w:lang w:val="en-US" w:eastAsia="zh-CN" w:bidi="ar"/>
              </w:rPr>
              <w:br w:type="textWrapping"/>
            </w:r>
            <w:r>
              <w:rPr>
                <w:rStyle w:val="26"/>
                <w:bdr w:val="none" w:color="auto" w:sz="0" w:space="0"/>
                <w:lang w:val="en-US" w:eastAsia="zh-CN" w:bidi="ar"/>
              </w:rPr>
              <w:t>3.玻璃：钢化处理，厚度≥5mm.</w:t>
            </w:r>
            <w:r>
              <w:rPr>
                <w:rStyle w:val="26"/>
                <w:bdr w:val="none" w:color="auto" w:sz="0" w:space="0"/>
                <w:lang w:val="en-US" w:eastAsia="zh-CN" w:bidi="ar"/>
              </w:rPr>
              <w:br w:type="textWrapping"/>
            </w:r>
            <w:r>
              <w:rPr>
                <w:rStyle w:val="26"/>
                <w:bdr w:val="none" w:color="auto" w:sz="0" w:space="0"/>
                <w:lang w:val="en-US" w:eastAsia="zh-CN" w:bidi="ar"/>
              </w:rPr>
              <w:t>4.铰链：采用优质铰链，符合国家现行标准。</w:t>
            </w:r>
            <w:r>
              <w:rPr>
                <w:rStyle w:val="26"/>
                <w:bdr w:val="none" w:color="auto" w:sz="0" w:space="0"/>
                <w:lang w:val="en-US" w:eastAsia="zh-CN" w:bidi="ar"/>
              </w:rPr>
              <w:br w:type="textWrapping"/>
            </w:r>
            <w:r>
              <w:rPr>
                <w:rStyle w:val="26"/>
                <w:bdr w:val="none" w:color="auto" w:sz="0" w:space="0"/>
                <w:lang w:val="en-US" w:eastAsia="zh-CN" w:bidi="ar"/>
              </w:rPr>
              <w:t>5.锁具：采用优质锁具，符合国家现行标准。</w:t>
            </w:r>
            <w:r>
              <w:rPr>
                <w:rStyle w:val="26"/>
                <w:bdr w:val="none" w:color="auto" w:sz="0" w:space="0"/>
                <w:lang w:val="en-US" w:eastAsia="zh-CN" w:bidi="ar"/>
              </w:rPr>
              <w:br w:type="textWrapping"/>
            </w:r>
            <w:r>
              <w:rPr>
                <w:rStyle w:val="26"/>
                <w:bdr w:val="none" w:color="auto" w:sz="0" w:space="0"/>
                <w:lang w:val="en-US" w:eastAsia="zh-CN" w:bidi="ar"/>
              </w:rPr>
              <w:t xml:space="preserve">6.拉手：采用符合技术标准专用拉手。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6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3门更衣柜</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426085</wp:posOffset>
                  </wp:positionH>
                  <wp:positionV relativeFrom="paragraph">
                    <wp:posOffset>170815</wp:posOffset>
                  </wp:positionV>
                  <wp:extent cx="418465" cy="839470"/>
                  <wp:effectExtent l="0" t="0" r="635" b="17780"/>
                  <wp:wrapNone/>
                  <wp:docPr id="15" name="图片_26"/>
                  <wp:cNvGraphicFramePr/>
                  <a:graphic xmlns:a="http://schemas.openxmlformats.org/drawingml/2006/main">
                    <a:graphicData uri="http://schemas.openxmlformats.org/drawingml/2006/picture">
                      <pic:pic xmlns:pic="http://schemas.openxmlformats.org/drawingml/2006/picture">
                        <pic:nvPicPr>
                          <pic:cNvPr id="15" name="图片_26"/>
                          <pic:cNvPicPr/>
                        </pic:nvPicPr>
                        <pic:blipFill>
                          <a:blip r:embed="rId37"/>
                          <a:stretch>
                            <a:fillRect/>
                          </a:stretch>
                        </pic:blipFill>
                        <pic:spPr>
                          <a:xfrm>
                            <a:off x="0" y="0"/>
                            <a:ext cx="418465" cy="83947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900*500*1850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1.采用一级冷轧钢板通过GB/T13668-2003技术标准，厚度≥0.8mm一级冷轧钢板裸板。表面进行静电喷涂处理。涂装后产品符合GB/T3325-2017标准。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2.内部结构：含隔板一层，所有搁板、背板及侧板三边折弯采用无缝焊接工艺。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4.铰链：采用优质铰链，符合国家现行标准。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5.锁具：采用优质锁具，符合国家现行标准。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6.拉手：采用符合技术标准专用拉手。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更衣凳</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123825</wp:posOffset>
                  </wp:positionV>
                  <wp:extent cx="934085" cy="508000"/>
                  <wp:effectExtent l="0" t="0" r="18415" b="6350"/>
                  <wp:wrapNone/>
                  <wp:docPr id="12" name="图片_27_SpCnt_1"/>
                  <wp:cNvGraphicFramePr/>
                  <a:graphic xmlns:a="http://schemas.openxmlformats.org/drawingml/2006/main">
                    <a:graphicData uri="http://schemas.openxmlformats.org/drawingml/2006/picture">
                      <pic:pic xmlns:pic="http://schemas.openxmlformats.org/drawingml/2006/picture">
                        <pic:nvPicPr>
                          <pic:cNvPr id="12" name="图片_27_SpCnt_1"/>
                          <pic:cNvPicPr/>
                        </pic:nvPicPr>
                        <pic:blipFill>
                          <a:blip r:embed="rId38"/>
                          <a:stretch>
                            <a:fillRect/>
                          </a:stretch>
                        </pic:blipFill>
                        <pic:spPr>
                          <a:xfrm>
                            <a:off x="0" y="0"/>
                            <a:ext cx="934085" cy="508000"/>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900*400*450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件</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1.海绵：采用优质的高回弹切割泡棉，软硬适中，不变形，50#密度，符合国家现行相关标准。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2.采用西皮包裹。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3.脚架：采用25*25mm钢制脚架门字型腿,钢管壁厚≥2mm。                                                                        4.表面喷塑处理，底部安装塑胶防水底脚。</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货架</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261620</wp:posOffset>
                  </wp:positionH>
                  <wp:positionV relativeFrom="paragraph">
                    <wp:posOffset>79375</wp:posOffset>
                  </wp:positionV>
                  <wp:extent cx="948690" cy="876935"/>
                  <wp:effectExtent l="0" t="0" r="3810" b="18415"/>
                  <wp:wrapNone/>
                  <wp:docPr id="11" name="图片_12_SpCnt_1"/>
                  <wp:cNvGraphicFramePr/>
                  <a:graphic xmlns:a="http://schemas.openxmlformats.org/drawingml/2006/main">
                    <a:graphicData uri="http://schemas.openxmlformats.org/drawingml/2006/picture">
                      <pic:pic xmlns:pic="http://schemas.openxmlformats.org/drawingml/2006/picture">
                        <pic:nvPicPr>
                          <pic:cNvPr id="11" name="图片_12_SpCnt_1"/>
                          <pic:cNvPicPr/>
                        </pic:nvPicPr>
                        <pic:blipFill>
                          <a:blip r:embed="rId39"/>
                          <a:stretch>
                            <a:fillRect/>
                          </a:stretch>
                        </pic:blipFill>
                        <pic:spPr>
                          <a:xfrm>
                            <a:off x="0" y="0"/>
                            <a:ext cx="948690" cy="87693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br w:type="textWrapp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1200*600*1850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1.钢制货架常规国际亚光浅灰色，采用优质冷轧钢板，经过剪切、冲压、折弯、焊接、装配而成；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2.立柱：采用40*60*2.0mm矩管专业磨具冲压而成，表面进行静电喷涂处理；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3.承载：最大承载可达500kg/层，结构简单，拆装方便，且可无限连接；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4.隔板：以50mm为单位上下任意调节，坚固耐用，性能优良；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5.组成：由立柱、横梁、四层隔板及安全销组成，外观精美，安全系数高；</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等候椅</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324485</wp:posOffset>
                  </wp:positionH>
                  <wp:positionV relativeFrom="paragraph">
                    <wp:posOffset>284480</wp:posOffset>
                  </wp:positionV>
                  <wp:extent cx="1026795" cy="713105"/>
                  <wp:effectExtent l="0" t="0" r="1905" b="10795"/>
                  <wp:wrapNone/>
                  <wp:docPr id="17" name="图片_11"/>
                  <wp:cNvGraphicFramePr/>
                  <a:graphic xmlns:a="http://schemas.openxmlformats.org/drawingml/2006/main">
                    <a:graphicData uri="http://schemas.openxmlformats.org/drawingml/2006/picture">
                      <pic:pic xmlns:pic="http://schemas.openxmlformats.org/drawingml/2006/picture">
                        <pic:nvPicPr>
                          <pic:cNvPr id="17" name="图片_11"/>
                          <pic:cNvPicPr/>
                        </pic:nvPicPr>
                        <pic:blipFill>
                          <a:blip r:embed="rId40"/>
                          <a:stretch>
                            <a:fillRect/>
                          </a:stretch>
                        </pic:blipFill>
                        <pic:spPr>
                          <a:xfrm>
                            <a:off x="0" y="0"/>
                            <a:ext cx="1026795" cy="71310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1670*555*780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1、椅板采用1.5mm厚优质不锈钢，经数控冲孔、数控折弯工艺，表面拉丝处理。边条采用优质不锈钢，表面抛镜光。                                                                                                      2、横梁采用优质五角型钢梁，厚度达到2.0mm。                                                                                                                                                           3、连接件：采用5mm钢板经冲压后焊接而成；表面喷涂处理。                                                                                                                                     4、座靠背：专业磨具制造聚氨酯材料一次成型，坐感舒适，方便清洗和保养。                                                                                                                                   5、接触人体部位无突出的毛刺或刃口棱角，切边平整，不易造成划伤。尺寸精度高，易于安装。</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5"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小方凳</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434975</wp:posOffset>
                  </wp:positionH>
                  <wp:positionV relativeFrom="paragraph">
                    <wp:posOffset>67945</wp:posOffset>
                  </wp:positionV>
                  <wp:extent cx="426085" cy="527685"/>
                  <wp:effectExtent l="0" t="0" r="12065" b="5715"/>
                  <wp:wrapNone/>
                  <wp:docPr id="19" name="图片_128"/>
                  <wp:cNvGraphicFramePr/>
                  <a:graphic xmlns:a="http://schemas.openxmlformats.org/drawingml/2006/main">
                    <a:graphicData uri="http://schemas.openxmlformats.org/drawingml/2006/picture">
                      <pic:pic xmlns:pic="http://schemas.openxmlformats.org/drawingml/2006/picture">
                        <pic:nvPicPr>
                          <pic:cNvPr id="19" name="图片_128"/>
                          <pic:cNvPicPr/>
                        </pic:nvPicPr>
                        <pic:blipFill>
                          <a:blip r:embed="rId41"/>
                          <a:stretch>
                            <a:fillRect/>
                          </a:stretch>
                        </pic:blipFill>
                        <pic:spPr>
                          <a:xfrm>
                            <a:off x="0" y="0"/>
                            <a:ext cx="426085" cy="52768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常规</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1.方凳面板采用18mm三聚氰胺饰面板。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3.椅子腿采用25*25*2mm方管、横杆采用20*20*2mm方管，底部安装塑胶防水底脚。</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操作台</w:t>
            </w:r>
          </w:p>
        </w:tc>
        <w:tc>
          <w:tcPr>
            <w:tcW w:w="24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222885</wp:posOffset>
                  </wp:positionH>
                  <wp:positionV relativeFrom="paragraph">
                    <wp:posOffset>517525</wp:posOffset>
                  </wp:positionV>
                  <wp:extent cx="1165225" cy="993775"/>
                  <wp:effectExtent l="0" t="0" r="15875" b="15875"/>
                  <wp:wrapNone/>
                  <wp:docPr id="14" name="图片_1_SpCnt_4"/>
                  <wp:cNvGraphicFramePr/>
                  <a:graphic xmlns:a="http://schemas.openxmlformats.org/drawingml/2006/main">
                    <a:graphicData uri="http://schemas.openxmlformats.org/drawingml/2006/picture">
                      <pic:pic xmlns:pic="http://schemas.openxmlformats.org/drawingml/2006/picture">
                        <pic:nvPicPr>
                          <pic:cNvPr id="14" name="图片_1_SpCnt_4"/>
                          <pic:cNvPicPr/>
                        </pic:nvPicPr>
                        <pic:blipFill>
                          <a:blip r:embed="rId42"/>
                          <a:stretch>
                            <a:fillRect/>
                          </a:stretch>
                        </pic:blipFill>
                        <pic:spPr>
                          <a:xfrm>
                            <a:off x="0" y="0"/>
                            <a:ext cx="1165225" cy="993775"/>
                          </a:xfrm>
                          <a:prstGeom prst="rect">
                            <a:avLst/>
                          </a:prstGeom>
                          <a:noFill/>
                          <a:ln>
                            <a:noFill/>
                          </a:ln>
                        </pic:spPr>
                      </pic:pic>
                    </a:graphicData>
                  </a:graphic>
                </wp:anchor>
              </w:drawing>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600*850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延米</w:t>
            </w:r>
          </w:p>
        </w:tc>
        <w:tc>
          <w:tcPr>
            <w:tcW w:w="73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1.用材：采用E1级三聚氢氨饰面刨花板。甲醛释放量（1m³气候箱法）≤0.124mg/m³（GB18580-2017），经过防潮、防虫、防腐的化学处理，强度高，刚性好，不变形不开裂。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2.板材厚度：桌面厚度≥25mm,其他部分厚度≥16mm.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3.五金配件：采用优质配件，符合相应现行国家标准要求，镀锌滚珠全拉出式三节滑轨。所有五金配件全部经过防锈、防腐处理。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4.封边：采用优质环保PVC塑胶封边，厚度2.5mm。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5.颜色：根据整体环境设计。桌面为木纹色（以最终确定色板为准），下部为白色或深灰色，符合人体工程学设计，实用性强，时尚雅致，环保舒适。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6.台面：采用优质1.2cm厚实心理化板，具有耐酸碱性，耐高温及抗菌等特性。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7.配置：根据整体布局每间设置一个pp材料单水盆，水盆三面设置10MM厚亚克力防水围挡。肘开式水龙头。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8.内部结构：吊柜内置层板一块，裸露层板一块，地柜抽屉，对开门置物柜任意搭配组合。 </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操作台吊柜</w:t>
            </w:r>
          </w:p>
        </w:tc>
        <w:tc>
          <w:tcPr>
            <w:tcW w:w="24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300*1200</w:t>
            </w:r>
          </w:p>
        </w:tc>
        <w:tc>
          <w:tcPr>
            <w:tcW w:w="5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延米</w:t>
            </w:r>
          </w:p>
        </w:tc>
        <w:tc>
          <w:tcPr>
            <w:tcW w:w="73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812"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73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38315</w:t>
            </w:r>
          </w:p>
        </w:tc>
      </w:tr>
    </w:tbl>
    <w:p>
      <w:pPr>
        <w:pStyle w:val="2"/>
        <w:ind w:left="0" w:leftChars="0" w:firstLine="0" w:firstLineChars="0"/>
        <w:rPr>
          <w:rFonts w:hint="eastAsia" w:ascii="宋体" w:hAnsi="宋体" w:cs="宋体"/>
          <w:sz w:val="24"/>
          <w:szCs w:val="24"/>
          <w:highlight w:val="none"/>
          <w:lang w:eastAsia="zh-CN"/>
        </w:rPr>
        <w:sectPr>
          <w:pgSz w:w="16838" w:h="11906" w:orient="landscape"/>
          <w:pgMar w:top="1620" w:right="1440" w:bottom="1800" w:left="1402" w:header="851" w:footer="992" w:gutter="0"/>
          <w:pgNumType w:fmt="decimal"/>
          <w:cols w:space="720" w:num="1"/>
          <w:docGrid w:type="lines" w:linePitch="312" w:charSpace="0"/>
        </w:sectPr>
      </w:pPr>
    </w:p>
    <w:p>
      <w:pPr>
        <w:pStyle w:val="2"/>
        <w:rPr>
          <w:rFonts w:hint="eastAsia" w:ascii="宋体" w:hAnsi="宋体" w:cs="宋体"/>
          <w:sz w:val="24"/>
          <w:szCs w:val="24"/>
          <w:highlight w:val="none"/>
          <w:lang w:eastAsia="zh-CN"/>
        </w:rPr>
      </w:pPr>
    </w:p>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7"/>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rPr>
      </w:pPr>
      <w:r>
        <w:rPr>
          <w:rFonts w:hint="eastAsia" w:ascii="宋体" w:hAnsi="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须具备合法注册的法人或其他组织的营业执照、组织机构代码证、税务登记证或统一社会信用代码的营业执照等证明文件,投标人为代理商的需提供生产厂家针对本项目的授权书</w:t>
      </w:r>
      <w:r>
        <w:rPr>
          <w:rFonts w:hint="eastAsia" w:ascii="宋体" w:hAnsi="宋体" w:eastAsia="宋体" w:cs="宋体"/>
          <w:b w:val="0"/>
          <w:bCs/>
          <w:sz w:val="24"/>
          <w:szCs w:val="32"/>
          <w:highlight w:val="none"/>
          <w:u w:val="none"/>
          <w:lang w:eastAsia="zh-CN"/>
        </w:rPr>
        <w:t>（原件</w:t>
      </w:r>
      <w:r>
        <w:rPr>
          <w:rFonts w:hint="eastAsia" w:ascii="宋体" w:hAnsi="宋体" w:cs="宋体"/>
          <w:b w:val="0"/>
          <w:bCs/>
          <w:sz w:val="24"/>
          <w:szCs w:val="32"/>
          <w:highlight w:val="none"/>
          <w:u w:val="none"/>
          <w:lang w:eastAsia="zh-CN"/>
        </w:rPr>
        <w:t>及复印件</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rPr>
        <w:t>；</w:t>
      </w:r>
    </w:p>
    <w:p>
      <w:pPr>
        <w:pStyle w:val="7"/>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default"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2、投标人应授权合法的人员参加投标全过程，其中法定代表人直接参加投标的，须出具法人身份证，并与营业执照信息一致；法定代表人授权人参加投标的，应出具法定代表人授权书及被授权人身份证（原件及复印件）；</w:t>
      </w:r>
    </w:p>
    <w:p>
      <w:pPr>
        <w:pStyle w:val="7"/>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lang w:val="en-US"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lang w:val="en-US" w:eastAsia="zh-CN"/>
        </w:rPr>
        <w:t>供应商须未被列入“信用中国”网站（www.creditchina.gov.cn）失信被执行人（以截图打印并加盖单位鲜章为准）；</w:t>
      </w:r>
    </w:p>
    <w:p>
      <w:pPr>
        <w:pStyle w:val="7"/>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4、</w:t>
      </w:r>
      <w:r>
        <w:rPr>
          <w:rFonts w:hint="eastAsia" w:ascii="宋体" w:hAnsi="宋体" w:eastAsia="宋体" w:cs="宋体"/>
          <w:b w:val="0"/>
          <w:bCs/>
          <w:sz w:val="24"/>
          <w:szCs w:val="32"/>
          <w:highlight w:val="none"/>
          <w:u w:val="none"/>
          <w:lang w:eastAsia="zh-CN"/>
        </w:rPr>
        <w:t>以上复印件均须加盖单位鲜章（不接受电脑扫描件作为原件资质）。</w:t>
      </w:r>
    </w:p>
    <w:p>
      <w:pPr>
        <w:pStyle w:val="7"/>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3"/>
          <w:rFonts w:hint="eastAsia" w:ascii="宋体" w:hAnsi="宋体" w:eastAsia="宋体" w:cs="宋体"/>
          <w:kern w:val="0"/>
          <w:sz w:val="24"/>
          <w:szCs w:val="24"/>
          <w:highlight w:val="none"/>
        </w:rPr>
      </w:pPr>
      <w:r>
        <w:rPr>
          <w:rFonts w:hint="eastAsia" w:ascii="宋体" w:hAnsi="宋体" w:eastAsia="宋体" w:cs="宋体"/>
          <w:b/>
          <w:bCs/>
          <w:sz w:val="24"/>
          <w:szCs w:val="24"/>
          <w:highlight w:val="none"/>
          <w:lang w:eastAsia="zh-CN"/>
        </w:rPr>
        <w:t>三、对投标文件要求</w:t>
      </w:r>
      <w:r>
        <w:rPr>
          <w:rStyle w:val="23"/>
          <w:rFonts w:hint="eastAsia" w:ascii="宋体" w:hAnsi="宋体" w:eastAsia="宋体" w:cs="宋体"/>
          <w:kern w:val="0"/>
          <w:sz w:val="24"/>
          <w:szCs w:val="24"/>
          <w:highlight w:val="none"/>
        </w:rPr>
        <w:t xml:space="preserve">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lang w:eastAsia="zh-CN"/>
        </w:rPr>
        <w:t>投标文件</w:t>
      </w:r>
      <w:r>
        <w:rPr>
          <w:rStyle w:val="23"/>
          <w:rFonts w:hint="eastAsia" w:ascii="宋体" w:hAnsi="宋体" w:eastAsia="宋体" w:cs="宋体"/>
          <w:sz w:val="24"/>
          <w:szCs w:val="21"/>
          <w:highlight w:val="none"/>
        </w:rPr>
        <w:t>必须根据</w:t>
      </w:r>
      <w:r>
        <w:rPr>
          <w:rStyle w:val="23"/>
          <w:rFonts w:hint="eastAsia" w:ascii="宋体" w:hAnsi="宋体" w:eastAsia="宋体" w:cs="宋体"/>
          <w:sz w:val="24"/>
          <w:szCs w:val="21"/>
          <w:highlight w:val="none"/>
          <w:lang w:eastAsia="zh-CN"/>
        </w:rPr>
        <w:t>招标文件</w:t>
      </w:r>
      <w:r>
        <w:rPr>
          <w:rStyle w:val="23"/>
          <w:rFonts w:hint="eastAsia" w:ascii="宋体" w:hAnsi="宋体" w:eastAsia="宋体" w:cs="宋体"/>
          <w:sz w:val="24"/>
          <w:szCs w:val="21"/>
          <w:highlight w:val="none"/>
        </w:rPr>
        <w:t>格式要求编写，对</w:t>
      </w:r>
      <w:r>
        <w:rPr>
          <w:rStyle w:val="23"/>
          <w:rFonts w:hint="eastAsia" w:ascii="宋体" w:hAnsi="宋体" w:eastAsia="宋体" w:cs="宋体"/>
          <w:sz w:val="24"/>
          <w:szCs w:val="21"/>
          <w:highlight w:val="none"/>
          <w:lang w:eastAsia="zh-CN"/>
        </w:rPr>
        <w:t>招标文件</w:t>
      </w:r>
      <w:r>
        <w:rPr>
          <w:rStyle w:val="23"/>
          <w:rFonts w:hint="eastAsia" w:ascii="宋体" w:hAnsi="宋体" w:eastAsia="宋体" w:cs="宋体"/>
          <w:sz w:val="24"/>
          <w:szCs w:val="21"/>
          <w:highlight w:val="none"/>
        </w:rPr>
        <w:t>做出实质性响应。具体内容包括：</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1、按照要求</w:t>
      </w:r>
      <w:r>
        <w:rPr>
          <w:rStyle w:val="23"/>
          <w:rFonts w:hint="eastAsia" w:ascii="宋体" w:hAnsi="宋体" w:eastAsia="宋体" w:cs="宋体"/>
          <w:sz w:val="24"/>
          <w:szCs w:val="21"/>
          <w:highlight w:val="none"/>
          <w:lang w:eastAsia="zh-CN"/>
        </w:rPr>
        <w:t>编写投标文件</w:t>
      </w:r>
      <w:r>
        <w:rPr>
          <w:rStyle w:val="23"/>
          <w:rFonts w:hint="eastAsia" w:ascii="宋体" w:hAnsi="宋体" w:eastAsia="宋体" w:cs="宋体"/>
          <w:sz w:val="24"/>
          <w:szCs w:val="21"/>
          <w:highlight w:val="none"/>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a、</w:t>
      </w:r>
      <w:r>
        <w:rPr>
          <w:rStyle w:val="23"/>
          <w:rFonts w:hint="eastAsia" w:ascii="宋体" w:hAnsi="宋体" w:eastAsia="宋体" w:cs="宋体"/>
          <w:sz w:val="24"/>
          <w:szCs w:val="21"/>
          <w:highlight w:val="none"/>
          <w:lang w:eastAsia="zh-CN"/>
        </w:rPr>
        <w:t>投标函</w:t>
      </w:r>
      <w:r>
        <w:rPr>
          <w:rStyle w:val="23"/>
          <w:rFonts w:hint="eastAsia" w:ascii="宋体" w:hAnsi="宋体" w:eastAsia="宋体" w:cs="宋体"/>
          <w:sz w:val="24"/>
          <w:szCs w:val="21"/>
          <w:highlight w:val="none"/>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b、按要求出具的资格证明文件，证明投标人是合格的，中标后有能力履行合同。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c、按要求出具的其它证明文件，证明投标人提供的是合格的货物，质量管理体系健全，售后服务有保障，且响应</w:t>
      </w:r>
      <w:r>
        <w:rPr>
          <w:rStyle w:val="23"/>
          <w:rFonts w:hint="eastAsia" w:ascii="宋体" w:hAnsi="宋体" w:eastAsia="宋体" w:cs="宋体"/>
          <w:sz w:val="24"/>
          <w:szCs w:val="21"/>
          <w:highlight w:val="none"/>
          <w:lang w:eastAsia="zh-CN"/>
        </w:rPr>
        <w:t>招标</w:t>
      </w:r>
      <w:r>
        <w:rPr>
          <w:rStyle w:val="23"/>
          <w:rFonts w:hint="eastAsia" w:ascii="宋体" w:hAnsi="宋体" w:eastAsia="宋体" w:cs="宋体"/>
          <w:sz w:val="24"/>
          <w:szCs w:val="21"/>
          <w:highlight w:val="none"/>
        </w:rPr>
        <w:t>文件的要求。</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2、投标报价：</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a、投标人应在</w:t>
      </w:r>
      <w:r>
        <w:rPr>
          <w:rStyle w:val="23"/>
          <w:rFonts w:hint="eastAsia" w:ascii="宋体" w:hAnsi="宋体" w:eastAsia="宋体" w:cs="宋体"/>
          <w:sz w:val="24"/>
          <w:szCs w:val="21"/>
          <w:highlight w:val="none"/>
          <w:lang w:eastAsia="zh-CN"/>
        </w:rPr>
        <w:t>投标文件</w:t>
      </w:r>
      <w:r>
        <w:rPr>
          <w:rStyle w:val="23"/>
          <w:rFonts w:hint="eastAsia" w:ascii="宋体" w:hAnsi="宋体" w:eastAsia="宋体" w:cs="宋体"/>
          <w:sz w:val="24"/>
          <w:szCs w:val="21"/>
          <w:highlight w:val="none"/>
        </w:rPr>
        <w:t>中的</w:t>
      </w:r>
      <w:r>
        <w:rPr>
          <w:rStyle w:val="23"/>
          <w:rFonts w:hint="eastAsia" w:ascii="宋体" w:hAnsi="宋体" w:eastAsia="宋体" w:cs="宋体"/>
          <w:sz w:val="24"/>
          <w:szCs w:val="21"/>
          <w:highlight w:val="none"/>
          <w:lang w:eastAsia="zh-CN"/>
        </w:rPr>
        <w:t>投标</w:t>
      </w:r>
      <w:r>
        <w:rPr>
          <w:rStyle w:val="23"/>
          <w:rFonts w:hint="eastAsia" w:ascii="宋体" w:hAnsi="宋体" w:eastAsia="宋体" w:cs="宋体"/>
          <w:sz w:val="24"/>
          <w:szCs w:val="21"/>
          <w:highlight w:val="none"/>
        </w:rPr>
        <w:t>报价表上，标明供货期等项，任何有选择的报价招标人不予接受。</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b、投标报价为货物达到指定交货地点交付使用所有费用，包括货物的供应费及所发生的运杂费（含保险）及国家按现行税收政策征收的一切税费等。</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c、本次招标为货物单价招标</w:t>
      </w:r>
      <w:r>
        <w:rPr>
          <w:rStyle w:val="23"/>
          <w:rFonts w:hint="eastAsia" w:ascii="宋体" w:hAnsi="宋体" w:eastAsia="宋体" w:cs="宋体"/>
          <w:sz w:val="24"/>
          <w:szCs w:val="21"/>
          <w:highlight w:val="none"/>
          <w:lang w:eastAsia="zh-CN"/>
        </w:rPr>
        <w:t>，</w:t>
      </w:r>
      <w:r>
        <w:rPr>
          <w:rStyle w:val="23"/>
          <w:rFonts w:hint="eastAsia" w:ascii="宋体" w:hAnsi="宋体" w:eastAsia="宋体" w:cs="宋体"/>
          <w:sz w:val="24"/>
          <w:szCs w:val="21"/>
          <w:highlight w:val="none"/>
        </w:rPr>
        <w:t>最终合同价款按货物实际供给量据实结算。</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sz w:val="24"/>
          <w:szCs w:val="21"/>
          <w:highlight w:val="none"/>
        </w:rPr>
      </w:pPr>
      <w:r>
        <w:rPr>
          <w:rStyle w:val="23"/>
          <w:rFonts w:hint="eastAsia" w:ascii="宋体" w:hAnsi="宋体" w:eastAsia="宋体" w:cs="宋体"/>
          <w:sz w:val="24"/>
          <w:szCs w:val="21"/>
          <w:highlight w:val="none"/>
        </w:rPr>
        <w:t>d、凡因投标人对招标文件阅读不深、理解不透、误解、疏漏、或因市场行情了解不清造成的后果和风险均由投标单位自负。</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kern w:val="0"/>
          <w:sz w:val="24"/>
          <w:szCs w:val="24"/>
          <w:highlight w:val="none"/>
        </w:rPr>
      </w:pPr>
      <w:r>
        <w:rPr>
          <w:rStyle w:val="23"/>
          <w:rFonts w:hint="eastAsia" w:ascii="宋体" w:hAnsi="宋体" w:eastAsia="宋体" w:cs="宋体"/>
          <w:sz w:val="24"/>
          <w:szCs w:val="21"/>
          <w:highlight w:val="none"/>
        </w:rPr>
        <w:t>e、投标货币：人民币。单位：元（精确到小数点后两位）。</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3"/>
          <w:rFonts w:hint="eastAsia" w:ascii="宋体" w:hAnsi="宋体" w:eastAsia="宋体" w:cs="宋体"/>
          <w:kern w:val="0"/>
          <w:sz w:val="24"/>
          <w:szCs w:val="24"/>
          <w:highlight w:val="none"/>
        </w:rPr>
      </w:pPr>
      <w:r>
        <w:rPr>
          <w:rStyle w:val="23"/>
          <w:rFonts w:hint="eastAsia" w:ascii="宋体" w:hAnsi="宋体" w:eastAsia="宋体" w:cs="宋体"/>
          <w:kern w:val="0"/>
          <w:sz w:val="24"/>
          <w:szCs w:val="24"/>
          <w:highlight w:val="none"/>
        </w:rPr>
        <w:t>3、</w:t>
      </w:r>
      <w:r>
        <w:rPr>
          <w:rStyle w:val="23"/>
          <w:rFonts w:hint="eastAsia" w:ascii="宋体" w:hAnsi="宋体" w:eastAsia="宋体" w:cs="宋体"/>
          <w:kern w:val="0"/>
          <w:sz w:val="24"/>
          <w:szCs w:val="24"/>
          <w:highlight w:val="none"/>
          <w:lang w:eastAsia="zh-CN"/>
        </w:rPr>
        <w:t>投标文件</w:t>
      </w:r>
      <w:r>
        <w:rPr>
          <w:rStyle w:val="23"/>
          <w:rFonts w:hint="eastAsia" w:ascii="宋体" w:hAnsi="宋体" w:eastAsia="宋体" w:cs="宋体"/>
          <w:kern w:val="0"/>
          <w:sz w:val="24"/>
          <w:szCs w:val="24"/>
          <w:highlight w:val="none"/>
        </w:rPr>
        <w:t>使用A4纸质制作，正本壹份，副本贰份</w:t>
      </w:r>
      <w:r>
        <w:rPr>
          <w:rStyle w:val="23"/>
          <w:rFonts w:hint="eastAsia" w:ascii="宋体" w:hAnsi="宋体" w:eastAsia="宋体" w:cs="宋体"/>
          <w:kern w:val="0"/>
          <w:sz w:val="24"/>
          <w:szCs w:val="24"/>
          <w:highlight w:val="none"/>
          <w:lang w:eastAsia="zh-CN"/>
        </w:rPr>
        <w:t>，</w:t>
      </w:r>
      <w:r>
        <w:rPr>
          <w:rFonts w:hint="eastAsia" w:ascii="宋体" w:hAnsi="宋体"/>
          <w:sz w:val="24"/>
          <w:szCs w:val="24"/>
          <w:highlight w:val="none"/>
        </w:rPr>
        <w:t>封面加盖“正本”“副本”</w:t>
      </w:r>
      <w:r>
        <w:rPr>
          <w:rStyle w:val="23"/>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3"/>
          <w:rFonts w:hint="eastAsia" w:ascii="宋体" w:hAnsi="宋体" w:eastAsia="宋体" w:cs="宋体"/>
          <w:kern w:val="0"/>
          <w:sz w:val="24"/>
          <w:szCs w:val="24"/>
          <w:highlight w:val="none"/>
        </w:rPr>
      </w:pPr>
      <w:r>
        <w:rPr>
          <w:rStyle w:val="23"/>
          <w:rFonts w:hint="eastAsia" w:ascii="宋体" w:hAnsi="宋体" w:eastAsia="宋体" w:cs="宋体"/>
          <w:kern w:val="0"/>
          <w:sz w:val="24"/>
          <w:szCs w:val="24"/>
          <w:highlight w:val="none"/>
        </w:rPr>
        <w:t>4、投标方应将</w:t>
      </w:r>
      <w:r>
        <w:rPr>
          <w:rStyle w:val="23"/>
          <w:rFonts w:hint="eastAsia" w:ascii="宋体" w:hAnsi="宋体" w:eastAsia="宋体" w:cs="宋体"/>
          <w:kern w:val="0"/>
          <w:sz w:val="24"/>
          <w:szCs w:val="24"/>
          <w:highlight w:val="none"/>
          <w:lang w:eastAsia="zh-CN"/>
        </w:rPr>
        <w:t>投标文件</w:t>
      </w:r>
      <w:r>
        <w:rPr>
          <w:rStyle w:val="23"/>
          <w:rFonts w:hint="eastAsia" w:ascii="宋体" w:hAnsi="宋体" w:eastAsia="宋体" w:cs="宋体"/>
          <w:kern w:val="0"/>
          <w:sz w:val="24"/>
          <w:szCs w:val="24"/>
          <w:highlight w:val="none"/>
        </w:rPr>
        <w:t>封入密封的</w:t>
      </w:r>
      <w:r>
        <w:rPr>
          <w:rStyle w:val="23"/>
          <w:rFonts w:hint="eastAsia" w:ascii="宋体" w:hAnsi="宋体" w:eastAsia="宋体" w:cs="宋体"/>
          <w:kern w:val="0"/>
          <w:sz w:val="24"/>
          <w:szCs w:val="24"/>
          <w:highlight w:val="none"/>
          <w:lang w:eastAsia="zh-CN"/>
        </w:rPr>
        <w:t>文件袋中</w:t>
      </w:r>
      <w:r>
        <w:rPr>
          <w:rStyle w:val="23"/>
          <w:rFonts w:hint="eastAsia" w:ascii="宋体" w:hAnsi="宋体" w:eastAsia="宋体" w:cs="宋体"/>
          <w:kern w:val="0"/>
          <w:sz w:val="24"/>
          <w:szCs w:val="24"/>
          <w:highlight w:val="none"/>
        </w:rPr>
        <w:t xml:space="preserve">，并在封口上加盖投标单位公章，并标明投标名称，按投标日程规定日期送至指定地点。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3"/>
          <w:rFonts w:hint="eastAsia" w:ascii="宋体" w:hAnsi="宋体" w:eastAsia="宋体" w:cs="宋体"/>
          <w:kern w:val="0"/>
          <w:sz w:val="24"/>
          <w:szCs w:val="24"/>
          <w:highlight w:val="none"/>
        </w:rPr>
      </w:pPr>
      <w:r>
        <w:rPr>
          <w:rStyle w:val="23"/>
          <w:rFonts w:hint="eastAsia" w:ascii="宋体" w:hAnsi="宋体" w:eastAsia="宋体" w:cs="宋体"/>
          <w:kern w:val="0"/>
          <w:sz w:val="24"/>
          <w:szCs w:val="24"/>
          <w:highlight w:val="none"/>
        </w:rPr>
        <w:t>5、投标方在投标截止时间之前可书面修改或撤销</w:t>
      </w:r>
      <w:r>
        <w:rPr>
          <w:rStyle w:val="23"/>
          <w:rFonts w:hint="eastAsia" w:ascii="宋体" w:hAnsi="宋体" w:eastAsia="宋体" w:cs="宋体"/>
          <w:kern w:val="0"/>
          <w:sz w:val="24"/>
          <w:szCs w:val="24"/>
          <w:highlight w:val="none"/>
          <w:lang w:eastAsia="zh-CN"/>
        </w:rPr>
        <w:t>投标文件</w:t>
      </w:r>
      <w:r>
        <w:rPr>
          <w:rStyle w:val="23"/>
          <w:rFonts w:hint="eastAsia" w:ascii="宋体" w:hAnsi="宋体" w:eastAsia="宋体" w:cs="宋体"/>
          <w:kern w:val="0"/>
          <w:sz w:val="24"/>
          <w:szCs w:val="24"/>
          <w:highlight w:val="none"/>
        </w:rPr>
        <w:t xml:space="preserve">，迟交或未按规定密封的不予接受。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b/>
          <w:sz w:val="28"/>
          <w:szCs w:val="28"/>
          <w:highlight w:val="none"/>
        </w:rPr>
      </w:pPr>
      <w:r>
        <w:rPr>
          <w:rStyle w:val="23"/>
          <w:rFonts w:hint="eastAsia" w:ascii="宋体" w:hAnsi="宋体" w:eastAsia="宋体" w:cs="宋体"/>
          <w:kern w:val="0"/>
          <w:sz w:val="24"/>
          <w:szCs w:val="24"/>
          <w:highlight w:val="none"/>
          <w:lang w:val="en-US" w:eastAsia="zh-CN"/>
        </w:rPr>
        <w:t>6</w:t>
      </w:r>
      <w:r>
        <w:rPr>
          <w:rStyle w:val="23"/>
          <w:rFonts w:hint="eastAsia" w:ascii="宋体" w:hAnsi="宋体" w:eastAsia="宋体" w:cs="宋体"/>
          <w:kern w:val="0"/>
          <w:sz w:val="24"/>
          <w:szCs w:val="24"/>
          <w:highlight w:val="none"/>
        </w:rPr>
        <w:t>、</w:t>
      </w:r>
      <w:r>
        <w:rPr>
          <w:rStyle w:val="23"/>
          <w:rFonts w:hint="eastAsia" w:ascii="宋体" w:hAnsi="宋体" w:eastAsia="宋体" w:cs="宋体"/>
          <w:kern w:val="0"/>
          <w:sz w:val="24"/>
          <w:szCs w:val="24"/>
          <w:highlight w:val="none"/>
          <w:lang w:eastAsia="zh-CN"/>
        </w:rPr>
        <w:t>投标</w:t>
      </w:r>
      <w:r>
        <w:rPr>
          <w:rStyle w:val="23"/>
          <w:rFonts w:hint="eastAsia" w:ascii="宋体" w:hAnsi="宋体" w:eastAsia="宋体" w:cs="宋体"/>
          <w:kern w:val="0"/>
          <w:sz w:val="24"/>
          <w:szCs w:val="24"/>
          <w:highlight w:val="none"/>
        </w:rPr>
        <w:t>文件有效期为自</w:t>
      </w:r>
      <w:r>
        <w:rPr>
          <w:rStyle w:val="23"/>
          <w:rFonts w:hint="eastAsia" w:ascii="宋体" w:hAnsi="宋体" w:eastAsia="宋体" w:cs="宋体"/>
          <w:kern w:val="0"/>
          <w:sz w:val="24"/>
          <w:szCs w:val="24"/>
          <w:highlight w:val="none"/>
          <w:lang w:eastAsia="zh-CN"/>
        </w:rPr>
        <w:t>投标</w:t>
      </w:r>
      <w:r>
        <w:rPr>
          <w:rStyle w:val="23"/>
          <w:rFonts w:hint="eastAsia" w:ascii="宋体" w:hAnsi="宋体" w:eastAsia="宋体" w:cs="宋体"/>
          <w:kern w:val="0"/>
          <w:sz w:val="24"/>
          <w:szCs w:val="24"/>
          <w:highlight w:val="none"/>
        </w:rPr>
        <w:t>之日起算九十（90）个日历日，成交供应商的</w:t>
      </w:r>
      <w:r>
        <w:rPr>
          <w:rStyle w:val="23"/>
          <w:rFonts w:hint="eastAsia" w:ascii="宋体" w:hAnsi="宋体" w:eastAsia="宋体" w:cs="宋体"/>
          <w:kern w:val="0"/>
          <w:sz w:val="24"/>
          <w:szCs w:val="24"/>
          <w:highlight w:val="none"/>
          <w:lang w:eastAsia="zh-CN"/>
        </w:rPr>
        <w:t>投标文件</w:t>
      </w:r>
      <w:r>
        <w:rPr>
          <w:rStyle w:val="23"/>
          <w:rFonts w:hint="eastAsia" w:ascii="宋体" w:hAnsi="宋体" w:eastAsia="宋体" w:cs="宋体"/>
          <w:kern w:val="0"/>
          <w:sz w:val="24"/>
          <w:szCs w:val="24"/>
          <w:highlight w:val="none"/>
        </w:rPr>
        <w:t>有效期延长至合同执行完毕。</w:t>
      </w:r>
    </w:p>
    <w:p>
      <w:pPr>
        <w:spacing w:line="360" w:lineRule="auto"/>
        <w:ind w:left="-359" w:leftChars="-171" w:firstLine="697" w:firstLineChars="248"/>
        <w:rPr>
          <w:rFonts w:hint="eastAsia" w:ascii="宋体" w:hAnsi="宋体"/>
          <w:b/>
          <w:sz w:val="28"/>
          <w:szCs w:val="28"/>
          <w:highlight w:val="none"/>
        </w:rPr>
      </w:pPr>
    </w:p>
    <w:p>
      <w:pPr>
        <w:spacing w:line="360" w:lineRule="auto"/>
        <w:ind w:left="-359" w:leftChars="-171" w:firstLine="697" w:firstLineChars="248"/>
        <w:rPr>
          <w:rFonts w:hint="eastAsia" w:ascii="宋体" w:hAnsi="宋体"/>
          <w:b/>
          <w:sz w:val="28"/>
          <w:szCs w:val="28"/>
          <w:highlight w:val="none"/>
        </w:rPr>
      </w:pPr>
    </w:p>
    <w:p>
      <w:pPr>
        <w:pStyle w:val="2"/>
        <w:ind w:left="0" w:leftChars="0" w:firstLine="0" w:firstLineChars="0"/>
        <w:rPr>
          <w:rFonts w:hint="eastAsia" w:ascii="宋体" w:hAnsi="宋体"/>
          <w:b/>
          <w:sz w:val="28"/>
          <w:szCs w:val="28"/>
          <w:highlight w:val="none"/>
        </w:rPr>
      </w:pPr>
    </w:p>
    <w:p>
      <w:pPr>
        <w:pStyle w:val="2"/>
        <w:ind w:left="0" w:leftChars="0" w:firstLine="0" w:firstLineChars="0"/>
        <w:rPr>
          <w:rFonts w:hint="eastAsia" w:ascii="宋体" w:hAnsi="宋体"/>
          <w:b/>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3"/>
          <w:rFonts w:hint="eastAsia" w:ascii="宋体" w:hAnsi="宋体" w:eastAsia="宋体" w:cs="宋体"/>
          <w:b/>
          <w:sz w:val="36"/>
          <w:szCs w:val="36"/>
          <w:highlight w:val="none"/>
        </w:rPr>
      </w:pPr>
      <w:r>
        <w:rPr>
          <w:rStyle w:val="23"/>
          <w:rFonts w:hint="eastAsia" w:ascii="宋体" w:hAnsi="宋体" w:eastAsia="宋体" w:cs="宋体"/>
          <w:b/>
          <w:sz w:val="36"/>
          <w:szCs w:val="36"/>
          <w:highlight w:val="none"/>
          <w:lang w:eastAsia="zh-CN"/>
        </w:rPr>
        <w:t>第四章</w:t>
      </w:r>
      <w:r>
        <w:rPr>
          <w:rStyle w:val="23"/>
          <w:rFonts w:hint="eastAsia" w:ascii="宋体" w:hAnsi="宋体" w:eastAsia="宋体" w:cs="宋体"/>
          <w:b/>
          <w:sz w:val="36"/>
          <w:szCs w:val="36"/>
          <w:highlight w:val="none"/>
          <w:lang w:val="en-US" w:eastAsia="zh-CN"/>
        </w:rPr>
        <w:t xml:space="preserve">  </w:t>
      </w:r>
      <w:r>
        <w:rPr>
          <w:rStyle w:val="23"/>
          <w:rFonts w:hint="eastAsia" w:ascii="宋体" w:hAnsi="宋体" w:eastAsia="宋体" w:cs="宋体"/>
          <w:b/>
          <w:sz w:val="36"/>
          <w:szCs w:val="36"/>
          <w:highlight w:val="none"/>
        </w:rPr>
        <w:t>评标标准和方法</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标的全过程分为供应商资质审查、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3、评标标准</w:t>
      </w:r>
    </w:p>
    <w:tbl>
      <w:tblPr>
        <w:tblStyle w:val="14"/>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034"/>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4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0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商务</w:t>
            </w:r>
            <w:r>
              <w:rPr>
                <w:rFonts w:hint="eastAsia" w:ascii="宋体" w:hAnsi="宋体" w:eastAsia="宋体" w:cs="宋体"/>
                <w:snapToGrid w:val="0"/>
                <w:kern w:val="0"/>
                <w:sz w:val="24"/>
                <w:szCs w:val="24"/>
                <w:highlight w:val="none"/>
                <w:lang w:eastAsia="zh-CN"/>
              </w:rPr>
              <w:t>评标部分（</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lang w:val="en-US" w:eastAsia="zh-CN"/>
              </w:rPr>
              <w:t>分</w:t>
            </w:r>
            <w:r>
              <w:rPr>
                <w:rFonts w:hint="eastAsia" w:ascii="宋体" w:hAnsi="宋体" w:eastAsia="宋体" w:cs="宋体"/>
                <w:snapToGrid w:val="0"/>
                <w:kern w:val="0"/>
                <w:sz w:val="24"/>
                <w:szCs w:val="24"/>
                <w:highlight w:val="none"/>
                <w:lang w:eastAsia="zh-CN"/>
              </w:rPr>
              <w:t>）</w:t>
            </w:r>
          </w:p>
        </w:tc>
        <w:tc>
          <w:tcPr>
            <w:tcW w:w="203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bookmarkStart w:id="0" w:name="_Toc352691532"/>
            <w:bookmarkStart w:id="1" w:name="_Toc12369"/>
            <w:bookmarkStart w:id="2" w:name="_Toc369531576"/>
            <w:bookmarkStart w:id="3" w:name="_Toc361508645"/>
            <w:bookmarkStart w:id="4" w:name="_Toc247527611"/>
            <w:bookmarkStart w:id="5" w:name="_Toc144974553"/>
            <w:bookmarkStart w:id="6" w:name="_Toc300835007"/>
            <w:bookmarkStart w:id="7" w:name="_Toc384308271"/>
            <w:bookmarkStart w:id="8" w:name="_Toc152045586"/>
            <w:bookmarkStart w:id="9" w:name="_Toc247514010"/>
            <w:bookmarkStart w:id="10" w:name="_Toc152042363"/>
            <w:r>
              <w:rPr>
                <w:rFonts w:hint="eastAsia" w:ascii="宋体" w:hAnsi="宋体" w:eastAsia="宋体" w:cs="宋体"/>
                <w:snapToGrid w:val="0"/>
                <w:kern w:val="0"/>
                <w:sz w:val="24"/>
                <w:szCs w:val="24"/>
                <w:highlight w:val="none"/>
              </w:rPr>
              <w:t>投标报价</w:t>
            </w:r>
          </w:p>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tc>
        <w:tc>
          <w:tcPr>
            <w:tcW w:w="6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以有效投标人的最低投标报价为评标基准价得满分</w:t>
            </w:r>
            <w:r>
              <w:rPr>
                <w:rFonts w:hint="eastAsia" w:ascii="宋体" w:hAnsi="宋体" w:eastAsia="宋体" w:cs="宋体"/>
                <w:snapToGrid w:val="0"/>
                <w:kern w:val="0"/>
                <w:sz w:val="24"/>
                <w:szCs w:val="24"/>
                <w:highlight w:val="none"/>
                <w:lang w:eastAsia="zh-CN"/>
              </w:rPr>
              <w:t xml:space="preserve">，投标报价得分=（评标基准价/投标报价）x </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lang w:eastAsia="zh-CN"/>
              </w:rPr>
              <w:t>分的公式计算。</w:t>
            </w:r>
          </w:p>
        </w:tc>
      </w:tr>
      <w:bookmarkEnd w:id="0"/>
      <w:bookmarkEnd w:id="1"/>
      <w:bookmarkEnd w:id="2"/>
      <w:bookmarkEnd w:id="3"/>
      <w:bookmarkEnd w:id="4"/>
      <w:bookmarkEnd w:id="5"/>
      <w:bookmarkEnd w:id="6"/>
      <w:bookmarkEnd w:id="7"/>
      <w:bookmarkEnd w:id="8"/>
      <w:bookmarkEnd w:id="9"/>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20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技术</w:t>
            </w:r>
            <w:r>
              <w:rPr>
                <w:rFonts w:hint="eastAsia" w:ascii="宋体" w:hAnsi="宋体" w:eastAsia="宋体" w:cs="宋体"/>
                <w:snapToGrid w:val="0"/>
                <w:kern w:val="0"/>
                <w:sz w:val="24"/>
                <w:szCs w:val="24"/>
                <w:highlight w:val="none"/>
                <w:lang w:eastAsia="zh-CN"/>
              </w:rPr>
              <w:t>评标部分（</w:t>
            </w:r>
            <w:r>
              <w:rPr>
                <w:rFonts w:hint="eastAsia" w:ascii="宋体" w:hAnsi="宋体" w:cs="宋体"/>
                <w:snapToGrid w:val="0"/>
                <w:kern w:val="0"/>
                <w:sz w:val="24"/>
                <w:szCs w:val="24"/>
                <w:highlight w:val="none"/>
                <w:lang w:val="en-US" w:eastAsia="zh-CN"/>
              </w:rPr>
              <w:t>65</w:t>
            </w:r>
            <w:r>
              <w:rPr>
                <w:rFonts w:hint="eastAsia" w:ascii="宋体" w:hAnsi="宋体" w:eastAsia="宋体" w:cs="宋体"/>
                <w:snapToGrid w:val="0"/>
                <w:kern w:val="0"/>
                <w:sz w:val="24"/>
                <w:szCs w:val="24"/>
                <w:highlight w:val="none"/>
                <w:lang w:val="en-US" w:eastAsia="zh-CN"/>
              </w:rPr>
              <w:t>分</w:t>
            </w:r>
            <w:r>
              <w:rPr>
                <w:rFonts w:hint="eastAsia" w:ascii="宋体" w:hAnsi="宋体" w:eastAsia="宋体" w:cs="宋体"/>
                <w:snapToGrid w:val="0"/>
                <w:kern w:val="0"/>
                <w:sz w:val="24"/>
                <w:szCs w:val="24"/>
                <w:highlight w:val="none"/>
                <w:lang w:eastAsia="zh-CN"/>
              </w:rPr>
              <w:t>）</w:t>
            </w:r>
          </w:p>
        </w:tc>
        <w:tc>
          <w:tcPr>
            <w:tcW w:w="203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技术方案</w:t>
            </w:r>
          </w:p>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4</w:t>
            </w:r>
            <w:r>
              <w:rPr>
                <w:rFonts w:hint="eastAsia" w:ascii="宋体" w:hAnsi="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分）</w:t>
            </w:r>
          </w:p>
        </w:tc>
        <w:tc>
          <w:tcPr>
            <w:tcW w:w="6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1、产品配置齐全，数量准确，技术资料齐全，指标明确，无负偏差，符合招标文件要求，有详细技术参数介绍。（1-</w:t>
            </w:r>
            <w:r>
              <w:rPr>
                <w:rFonts w:hint="eastAsia" w:ascii="宋体" w:hAnsi="宋体" w:cs="宋体"/>
                <w:snapToGrid w:val="0"/>
                <w:kern w:val="0"/>
                <w:sz w:val="24"/>
                <w:szCs w:val="24"/>
                <w:highlight w:val="none"/>
                <w:lang w:val="en-US" w:eastAsia="zh-CN"/>
              </w:rPr>
              <w:t>10</w:t>
            </w:r>
            <w:r>
              <w:rPr>
                <w:rFonts w:hint="eastAsia" w:ascii="宋体" w:hAnsi="宋体" w:eastAsia="宋体" w:cs="宋体"/>
                <w:snapToGrid w:val="0"/>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2、有先进生产工艺，做工精细，满足采购家具的加工要求。（1-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3、完善的实施方案，方案的安全性、可行性、规范性、合理性；（1-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4、家具的五金件，配套件满足要求，质量可靠。（1-</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5、供货方案完善、合理、科学、能保质保量按期供货（1-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6、货物的环保型、耐用性、安全可靠性、操作性能，由评委根据投标单位所提供的</w:t>
            </w:r>
            <w:r>
              <w:rPr>
                <w:rFonts w:hint="eastAsia" w:ascii="宋体" w:hAnsi="宋体" w:cs="宋体"/>
                <w:snapToGrid w:val="0"/>
                <w:kern w:val="0"/>
                <w:sz w:val="24"/>
                <w:szCs w:val="24"/>
                <w:highlight w:val="none"/>
                <w:lang w:eastAsia="zh-CN"/>
              </w:rPr>
              <w:t>设备</w:t>
            </w:r>
            <w:r>
              <w:rPr>
                <w:rFonts w:hint="eastAsia" w:ascii="宋体" w:hAnsi="宋体" w:eastAsia="宋体" w:cs="宋体"/>
                <w:snapToGrid w:val="0"/>
                <w:kern w:val="0"/>
                <w:sz w:val="24"/>
                <w:szCs w:val="24"/>
                <w:highlight w:val="none"/>
              </w:rPr>
              <w:t>参数说明、生产地、工艺流程等技术资料比较。（1-</w:t>
            </w:r>
            <w:r>
              <w:rPr>
                <w:rFonts w:hint="eastAsia" w:ascii="宋体" w:hAnsi="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2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kern w:val="0"/>
                <w:sz w:val="24"/>
                <w:szCs w:val="24"/>
                <w:highlight w:val="none"/>
              </w:rPr>
            </w:pPr>
          </w:p>
        </w:tc>
        <w:tc>
          <w:tcPr>
            <w:tcW w:w="203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业绩</w:t>
            </w:r>
          </w:p>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6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highlight w:val="none"/>
                <w:lang w:eastAsia="zh-CN"/>
              </w:rPr>
            </w:pPr>
            <w:r>
              <w:rPr>
                <w:rFonts w:hint="eastAsia"/>
                <w:sz w:val="24"/>
                <w:szCs w:val="24"/>
                <w:highlight w:val="none"/>
                <w:lang w:eastAsia="zh-CN"/>
              </w:rPr>
              <w:t>自</w:t>
            </w:r>
            <w:r>
              <w:rPr>
                <w:rFonts w:hint="eastAsia"/>
                <w:sz w:val="24"/>
                <w:szCs w:val="24"/>
                <w:highlight w:val="none"/>
                <w:lang w:val="en-US" w:eastAsia="zh-CN"/>
              </w:rPr>
              <w:t>2019年8月以来</w:t>
            </w:r>
            <w:r>
              <w:rPr>
                <w:rFonts w:hint="eastAsia"/>
                <w:sz w:val="24"/>
                <w:szCs w:val="24"/>
                <w:highlight w:val="none"/>
                <w:lang w:eastAsia="zh-CN"/>
              </w:rPr>
              <w:t>单笔合同金额在</w:t>
            </w:r>
            <w:r>
              <w:rPr>
                <w:rFonts w:hint="eastAsia"/>
                <w:sz w:val="24"/>
                <w:szCs w:val="24"/>
                <w:highlight w:val="none"/>
                <w:lang w:val="en-US" w:eastAsia="zh-CN"/>
              </w:rPr>
              <w:t>10万以上的</w:t>
            </w:r>
            <w:r>
              <w:rPr>
                <w:rFonts w:hint="eastAsia"/>
                <w:sz w:val="24"/>
                <w:szCs w:val="24"/>
                <w:highlight w:val="none"/>
                <w:lang w:eastAsia="zh-CN"/>
              </w:rPr>
              <w:t>项目供货业绩，每提供</w:t>
            </w:r>
            <w:r>
              <w:rPr>
                <w:rFonts w:hint="eastAsia"/>
                <w:sz w:val="24"/>
                <w:szCs w:val="24"/>
                <w:highlight w:val="none"/>
              </w:rPr>
              <w:t>一份合同</w:t>
            </w:r>
            <w:r>
              <w:rPr>
                <w:rFonts w:hint="eastAsia"/>
                <w:sz w:val="24"/>
                <w:szCs w:val="24"/>
                <w:highlight w:val="none"/>
                <w:lang w:eastAsia="zh-CN"/>
              </w:rPr>
              <w:t>得</w:t>
            </w:r>
            <w:r>
              <w:rPr>
                <w:rFonts w:hint="eastAsia"/>
                <w:sz w:val="24"/>
                <w:szCs w:val="24"/>
                <w:highlight w:val="none"/>
              </w:rPr>
              <w:t>2分，满分不超过</w:t>
            </w:r>
            <w:r>
              <w:rPr>
                <w:rFonts w:hint="eastAsia"/>
                <w:sz w:val="24"/>
                <w:szCs w:val="24"/>
                <w:highlight w:val="none"/>
                <w:lang w:val="en-US" w:eastAsia="zh-CN"/>
              </w:rPr>
              <w:t>6</w:t>
            </w:r>
            <w:r>
              <w:rPr>
                <w:rFonts w:hint="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1" w:hRule="atLeast"/>
          <w:jc w:val="center"/>
        </w:trPr>
        <w:tc>
          <w:tcPr>
            <w:tcW w:w="120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kern w:val="0"/>
                <w:sz w:val="24"/>
                <w:szCs w:val="24"/>
                <w:highlight w:val="none"/>
              </w:rPr>
            </w:pPr>
          </w:p>
        </w:tc>
        <w:tc>
          <w:tcPr>
            <w:tcW w:w="203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配送及售后服务</w:t>
            </w:r>
          </w:p>
          <w:p>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货源渠道正常，制造厂家有可靠、完备的质量管理体系、足够的设计、工艺、加工、检验能力，质量符合国家的标准和有关规定，由评标委员会按评审优劣自主赋分（1～</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售后服务措施、响应时间、承诺及配送条款详细、合理、可行，能提供本地技术支持和服务，由评标委员会按评审优劣自主赋分（1～</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质保期满足</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年得1分，每增加1年加</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分，满分</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tc>
      </w:tr>
    </w:tbl>
    <w:p>
      <w:pPr>
        <w:spacing w:line="360" w:lineRule="auto"/>
        <w:rPr>
          <w:rFonts w:hint="eastAsia" w:ascii="宋体" w:hAnsi="宋体"/>
          <w:color w:val="auto"/>
          <w:sz w:val="24"/>
          <w:szCs w:val="24"/>
          <w:highlight w:val="none"/>
          <w:lang w:val="en-US" w:eastAsia="zh-CN"/>
        </w:rPr>
      </w:pPr>
    </w:p>
    <w:p>
      <w:pPr>
        <w:spacing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定标</w:t>
      </w:r>
    </w:p>
    <w:p>
      <w:pPr>
        <w:keepNext w:val="0"/>
        <w:keepLines w:val="0"/>
        <w:pageBreakBefore w:val="0"/>
        <w:kinsoku/>
        <w:overflowPunct/>
        <w:topLinePunct w:val="0"/>
        <w:bidi w:val="0"/>
        <w:spacing w:line="360" w:lineRule="auto"/>
        <w:ind w:left="0" w:leftChars="0" w:right="0" w:firstLine="448" w:firstLineChars="200"/>
        <w:textAlignment w:val="auto"/>
        <w:rPr>
          <w:rFonts w:hint="eastAsia" w:ascii="宋体" w:hAnsi="宋体"/>
          <w:color w:val="auto"/>
          <w:sz w:val="24"/>
          <w:szCs w:val="24"/>
          <w:highlight w:val="none"/>
        </w:rPr>
      </w:pPr>
      <w:r>
        <w:rPr>
          <w:rFonts w:hint="eastAsia" w:ascii="宋体"/>
          <w:color w:val="auto"/>
          <w:spacing w:val="-8"/>
          <w:sz w:val="24"/>
          <w:szCs w:val="24"/>
          <w:highlight w:val="none"/>
        </w:rPr>
        <w:t>根据得分排序，</w:t>
      </w:r>
      <w:r>
        <w:rPr>
          <w:rFonts w:hint="eastAsia" w:ascii="宋体" w:hAnsi="宋体"/>
          <w:color w:val="auto"/>
          <w:sz w:val="24"/>
          <w:szCs w:val="24"/>
          <w:highlight w:val="none"/>
        </w:rPr>
        <w:t>前</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名单位入围，与甲方签订协议。</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hint="eastAsia"/>
          <w:b/>
          <w:sz w:val="36"/>
          <w:szCs w:val="36"/>
          <w:highlight w:val="none"/>
        </w:rPr>
      </w:pPr>
    </w:p>
    <w:p>
      <w:pPr>
        <w:jc w:val="center"/>
        <w:rPr>
          <w:rFonts w:ascii="宋体"/>
          <w:sz w:val="28"/>
          <w:szCs w:val="28"/>
          <w:highlight w:val="none"/>
        </w:rPr>
      </w:pPr>
      <w:r>
        <w:rPr>
          <w:rFonts w:hint="eastAsia"/>
          <w:b/>
          <w:sz w:val="36"/>
          <w:szCs w:val="36"/>
          <w:highlight w:val="none"/>
        </w:rPr>
        <w:t>第</w:t>
      </w:r>
      <w:r>
        <w:rPr>
          <w:rFonts w:hint="eastAsia"/>
          <w:b/>
          <w:sz w:val="36"/>
          <w:szCs w:val="36"/>
          <w:highlight w:val="none"/>
          <w:lang w:eastAsia="zh-CN"/>
        </w:rPr>
        <w:t>五章</w:t>
      </w:r>
      <w:r>
        <w:rPr>
          <w:rFonts w:hint="eastAsia"/>
          <w:b/>
          <w:sz w:val="36"/>
          <w:szCs w:val="36"/>
          <w:highlight w:val="none"/>
          <w:lang w:val="en-US" w:eastAsia="zh-CN"/>
        </w:rPr>
        <w:t xml:space="preserve">  合同主要条款</w:t>
      </w:r>
    </w:p>
    <w:p>
      <w:pPr>
        <w:spacing w:line="360" w:lineRule="auto"/>
        <w:ind w:firstLine="420"/>
        <w:rPr>
          <w:rFonts w:ascii="Times New Roman" w:hAnsi="Times New Roman"/>
          <w:sz w:val="24"/>
          <w:szCs w:val="24"/>
        </w:rPr>
      </w:pPr>
      <w:bookmarkStart w:id="11" w:name="_Toc247514197"/>
      <w:r>
        <w:rPr>
          <w:rFonts w:hint="eastAsia" w:ascii="宋体" w:hAnsi="宋体"/>
          <w:sz w:val="24"/>
          <w:szCs w:val="24"/>
        </w:rPr>
        <w:t>甲方：</w:t>
      </w:r>
      <w:bookmarkEnd w:id="11"/>
      <w:r>
        <w:rPr>
          <w:rFonts w:hint="eastAsia" w:ascii="宋体" w:hAnsi="宋体"/>
          <w:sz w:val="24"/>
          <w:szCs w:val="24"/>
          <w:u w:val="single"/>
        </w:rPr>
        <w:t>陕西中医药大学第二附属医院</w:t>
      </w:r>
      <w:r>
        <w:rPr>
          <w:rFonts w:hint="eastAsia" w:ascii="宋体" w:hAnsi="宋体"/>
          <w:sz w:val="24"/>
          <w:szCs w:val="24"/>
        </w:rPr>
        <w:t>，其注册登记地址为：</w:t>
      </w:r>
      <w:r>
        <w:rPr>
          <w:rFonts w:hint="eastAsia" w:ascii="宋体" w:hAnsi="宋体"/>
          <w:sz w:val="24"/>
          <w:szCs w:val="24"/>
          <w:u w:val="single"/>
        </w:rPr>
        <w:t>陕西省咸阳市渭阳西路</w:t>
      </w:r>
      <w:r>
        <w:rPr>
          <w:rFonts w:hint="eastAsia" w:ascii="Times New Roman" w:hAnsi="Times New Roman"/>
          <w:sz w:val="24"/>
          <w:szCs w:val="24"/>
          <w:u w:val="single"/>
        </w:rPr>
        <w:t>5</w:t>
      </w:r>
      <w:r>
        <w:rPr>
          <w:rFonts w:hint="eastAsia" w:ascii="宋体" w:hAnsi="宋体"/>
          <w:sz w:val="24"/>
          <w:szCs w:val="24"/>
          <w:u w:val="single"/>
        </w:rPr>
        <w:t>号</w:t>
      </w:r>
      <w:r>
        <w:rPr>
          <w:rFonts w:hint="eastAsia" w:ascii="宋体" w:hAnsi="宋体"/>
          <w:sz w:val="24"/>
          <w:szCs w:val="24"/>
        </w:rPr>
        <w:t>，法定代表人为：</w:t>
      </w:r>
      <w:r>
        <w:rPr>
          <w:rFonts w:hint="eastAsia" w:ascii="Times New Roman" w:hAnsi="Times New Roman"/>
          <w:sz w:val="24"/>
          <w:szCs w:val="24"/>
          <w:u w:val="single"/>
        </w:rPr>
        <w:t xml:space="preserve">  </w:t>
      </w:r>
      <w:r>
        <w:rPr>
          <w:rFonts w:hint="eastAsia" w:ascii="宋体" w:hAnsi="宋体"/>
          <w:sz w:val="24"/>
          <w:szCs w:val="24"/>
          <w:u w:val="single"/>
        </w:rPr>
        <w:t>缪峰</w:t>
      </w:r>
      <w:r>
        <w:rPr>
          <w:rFonts w:hint="eastAsia" w:ascii="Times New Roman" w:hAnsi="Times New Roman"/>
          <w:sz w:val="24"/>
          <w:szCs w:val="24"/>
          <w:u w:val="single"/>
        </w:rPr>
        <w:t xml:space="preserve">  </w:t>
      </w:r>
      <w:r>
        <w:rPr>
          <w:rFonts w:hint="eastAsia" w:ascii="宋体" w:hAnsi="宋体"/>
          <w:sz w:val="24"/>
          <w:szCs w:val="24"/>
        </w:rPr>
        <w:t>。</w:t>
      </w:r>
    </w:p>
    <w:p>
      <w:pPr>
        <w:spacing w:line="360" w:lineRule="auto"/>
        <w:ind w:firstLine="420"/>
        <w:rPr>
          <w:rFonts w:hint="eastAsia" w:ascii="Times New Roman" w:hAnsi="Times New Roman"/>
          <w:sz w:val="24"/>
          <w:szCs w:val="24"/>
        </w:rPr>
      </w:pPr>
      <w:r>
        <w:rPr>
          <w:rFonts w:hint="eastAsia" w:ascii="宋体" w:hAnsi="宋体"/>
          <w:sz w:val="24"/>
          <w:szCs w:val="24"/>
        </w:rPr>
        <w:t>乙方：</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lang w:eastAsia="zh-CN"/>
        </w:rPr>
        <w:t xml:space="preserve"> </w:t>
      </w:r>
      <w:r>
        <w:rPr>
          <w:rFonts w:hint="eastAsia" w:ascii="宋体" w:hAnsi="宋体"/>
          <w:sz w:val="24"/>
          <w:szCs w:val="24"/>
        </w:rPr>
        <w:t>，其注册登记地址为：</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宋体" w:hAnsi="宋体"/>
          <w:sz w:val="24"/>
          <w:szCs w:val="24"/>
        </w:rPr>
        <w:t>，</w:t>
      </w:r>
      <w:r>
        <w:rPr>
          <w:rFonts w:hint="eastAsia" w:ascii="Times New Roman" w:hAnsi="Times New Roman"/>
          <w:sz w:val="24"/>
          <w:szCs w:val="24"/>
        </w:rPr>
        <w:t xml:space="preserve"> 法定代表人为：</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宋体" w:hAnsi="宋体"/>
          <w:sz w:val="24"/>
          <w:szCs w:val="24"/>
        </w:rPr>
        <w:t>。</w:t>
      </w:r>
      <w:r>
        <w:rPr>
          <w:rFonts w:hint="eastAsia" w:ascii="Times New Roman" w:hAnsi="Times New Roman"/>
          <w:sz w:val="24"/>
          <w:szCs w:val="24"/>
        </w:rPr>
        <w:t xml:space="preserve"> </w:t>
      </w:r>
    </w:p>
    <w:p>
      <w:pPr>
        <w:spacing w:line="360" w:lineRule="auto"/>
        <w:ind w:firstLine="420"/>
        <w:rPr>
          <w:rFonts w:hint="eastAsia" w:ascii="Times New Roman" w:hAnsi="Times New Roman"/>
          <w:sz w:val="24"/>
          <w:szCs w:val="24"/>
        </w:rPr>
      </w:pPr>
      <w:r>
        <w:rPr>
          <w:rFonts w:hint="eastAsia" w:ascii="宋体" w:hAnsi="宋体"/>
          <w:sz w:val="24"/>
          <w:szCs w:val="24"/>
        </w:rPr>
        <w:t>根据《中华人民共和国民法典》、《中华人民共和国招投标法》、《中华人民共和国质量管理法》及国家有关法规规定，结合本项目的具体情况，就甲方采购乙方家具的事宜，为明确责任，协作配合，确保供货质量，经双方协商一致，签订本合同，以兹共同遵守。</w:t>
      </w:r>
    </w:p>
    <w:p>
      <w:pPr>
        <w:spacing w:line="360" w:lineRule="auto"/>
        <w:ind w:firstLine="420"/>
        <w:rPr>
          <w:rFonts w:hint="eastAsia" w:ascii="Times New Roman" w:hAnsi="Times New Roman" w:eastAsia="宋体"/>
          <w:b/>
          <w:bCs/>
          <w:sz w:val="24"/>
          <w:szCs w:val="24"/>
          <w:lang w:eastAsia="zh-CN"/>
        </w:rPr>
      </w:pPr>
      <w:r>
        <w:rPr>
          <w:rFonts w:hint="eastAsia" w:ascii="宋体" w:hAnsi="宋体"/>
          <w:b/>
          <w:bCs/>
          <w:sz w:val="24"/>
          <w:szCs w:val="24"/>
        </w:rPr>
        <w:t>一、家具名称、规格、数量、价格</w:t>
      </w:r>
      <w:r>
        <w:rPr>
          <w:rFonts w:hint="eastAsia" w:ascii="宋体" w:hAnsi="宋体"/>
          <w:b/>
          <w:bCs/>
          <w:sz w:val="24"/>
          <w:szCs w:val="24"/>
          <w:lang w:eastAsia="zh-CN"/>
        </w:rPr>
        <w:t>明细</w:t>
      </w:r>
    </w:p>
    <w:p>
      <w:pPr>
        <w:spacing w:line="360" w:lineRule="auto"/>
        <w:ind w:firstLine="420"/>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lang w:eastAsia="zh-CN"/>
        </w:rPr>
        <w:t>基础家具：</w:t>
      </w:r>
      <w:r>
        <w:rPr>
          <w:rFonts w:hint="eastAsia" w:ascii="宋体" w:hAnsi="宋体"/>
          <w:sz w:val="24"/>
          <w:szCs w:val="24"/>
        </w:rPr>
        <w:t>家具名称、规格、数量、价格明细表</w:t>
      </w:r>
      <w:r>
        <w:rPr>
          <w:rFonts w:hint="eastAsia" w:ascii="宋体" w:hAnsi="宋体"/>
          <w:sz w:val="24"/>
          <w:szCs w:val="24"/>
          <w:lang w:eastAsia="zh-CN"/>
        </w:rPr>
        <w:t>，</w:t>
      </w:r>
      <w:r>
        <w:rPr>
          <w:rFonts w:hint="eastAsia" w:ascii="宋体" w:hAnsi="宋体"/>
          <w:sz w:val="24"/>
          <w:szCs w:val="24"/>
        </w:rPr>
        <w:t>见附表</w:t>
      </w:r>
      <w:r>
        <w:rPr>
          <w:rFonts w:hint="eastAsia" w:ascii="Times New Roman" w:hAnsi="Times New Roman"/>
          <w:sz w:val="24"/>
          <w:szCs w:val="24"/>
        </w:rPr>
        <w:t>1</w:t>
      </w:r>
      <w:r>
        <w:rPr>
          <w:rFonts w:hint="eastAsia" w:ascii="宋体" w:hAnsi="宋体"/>
          <w:sz w:val="24"/>
          <w:szCs w:val="24"/>
        </w:rPr>
        <w:t>。</w:t>
      </w:r>
      <w:r>
        <w:rPr>
          <w:rFonts w:hint="eastAsia" w:ascii="宋体" w:hAnsi="宋体"/>
          <w:sz w:val="24"/>
          <w:szCs w:val="24"/>
          <w:lang w:eastAsia="zh-CN"/>
        </w:rPr>
        <w:t>按照合同价格，以轮转方式进行供货。</w:t>
      </w:r>
    </w:p>
    <w:p>
      <w:pPr>
        <w:spacing w:line="360" w:lineRule="auto"/>
        <w:ind w:firstLine="420"/>
        <w:rPr>
          <w:rFonts w:hint="default"/>
          <w:sz w:val="24"/>
          <w:szCs w:val="24"/>
          <w:lang w:val="en-US" w:eastAsia="zh-CN"/>
        </w:rPr>
      </w:pPr>
      <w:r>
        <w:rPr>
          <w:rFonts w:hint="eastAsia" w:ascii="宋体" w:hAnsi="宋体"/>
          <w:sz w:val="24"/>
          <w:szCs w:val="24"/>
          <w:lang w:val="en-US" w:eastAsia="zh-CN"/>
        </w:rPr>
        <w:t>2、非基础家具：科室申请预算在2万元及以下的非基础清单内家具，在遴选中标的三家单位中进行议价，以最低价中标单位承担具体科室非基础家具供货事宜。确定后双方就非基础家具价款、规格等内容签订工作联系函予以明确。</w:t>
      </w:r>
    </w:p>
    <w:p>
      <w:pPr>
        <w:spacing w:line="360" w:lineRule="auto"/>
        <w:ind w:firstLine="420"/>
        <w:rPr>
          <w:rFonts w:hint="eastAsia" w:ascii="Times New Roman" w:hAnsi="Times New Roman"/>
          <w:b/>
          <w:bCs/>
          <w:sz w:val="24"/>
          <w:szCs w:val="24"/>
        </w:rPr>
      </w:pPr>
      <w:r>
        <w:rPr>
          <w:rFonts w:hint="eastAsia" w:ascii="宋体" w:hAnsi="宋体"/>
          <w:b/>
          <w:bCs/>
          <w:sz w:val="24"/>
          <w:szCs w:val="24"/>
        </w:rPr>
        <w:t>二、交货时间、交货地点及方式</w:t>
      </w:r>
    </w:p>
    <w:p>
      <w:pPr>
        <w:spacing w:line="360" w:lineRule="auto"/>
        <w:ind w:left="210" w:leftChars="100" w:firstLine="240" w:firstLineChars="100"/>
        <w:rPr>
          <w:rFonts w:hint="eastAsia" w:ascii="Times New Roman" w:hAnsi="Times New Roman"/>
          <w:sz w:val="24"/>
          <w:szCs w:val="24"/>
        </w:rPr>
      </w:pPr>
      <w:r>
        <w:rPr>
          <w:rFonts w:hint="eastAsia" w:ascii="Times New Roman" w:hAnsi="Times New Roman"/>
          <w:sz w:val="24"/>
          <w:szCs w:val="24"/>
        </w:rPr>
        <w:t>1、合同时间：本合同有效期自合同生效之日起</w:t>
      </w:r>
      <w:r>
        <w:rPr>
          <w:rFonts w:hint="eastAsia" w:ascii="Times New Roman" w:hAnsi="Times New Roman"/>
          <w:sz w:val="24"/>
          <w:szCs w:val="24"/>
          <w:u w:val="single"/>
        </w:rPr>
        <w:t xml:space="preserve"> 贰 </w:t>
      </w:r>
      <w:r>
        <w:rPr>
          <w:rFonts w:hint="eastAsia" w:ascii="Times New Roman" w:hAnsi="Times New Roman"/>
          <w:sz w:val="24"/>
          <w:szCs w:val="24"/>
        </w:rPr>
        <w:t>年，即</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年</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月</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日至</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年</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月</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日止。合同期间内每次交货前货物毁损灭失的风险由乙方承担。</w:t>
      </w:r>
    </w:p>
    <w:p>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、交货地点：乙方运货到达甲方指定的地点后，甲方须派人与乙方人员按合同货物清单约定的内容现场清点、验收货物并双方签字确认。</w:t>
      </w:r>
    </w:p>
    <w:p>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交货方式：乙方自行选择运输方式，确保可按期交货，由此产生的运输费、保险费、搬运费、包装费、保管费、调整修理费、税金等由乙方负责支付。在运输中所造成的包括但不限于损耗、损失或其他责任由乙方承担。</w:t>
      </w:r>
    </w:p>
    <w:p>
      <w:pPr>
        <w:spacing w:line="360" w:lineRule="auto"/>
        <w:ind w:firstLine="42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、本合同产品的包装由乙方负责</w:t>
      </w:r>
      <w:r>
        <w:rPr>
          <w:rFonts w:hint="eastAsia" w:ascii="Times New Roman" w:hAnsi="Times New Roman"/>
          <w:sz w:val="24"/>
          <w:szCs w:val="24"/>
          <w:lang w:eastAsia="zh-CN"/>
        </w:rPr>
        <w:t>，</w:t>
      </w:r>
      <w:r>
        <w:rPr>
          <w:rFonts w:hint="eastAsia" w:ascii="宋体" w:hAnsi="宋体"/>
          <w:sz w:val="24"/>
          <w:szCs w:val="24"/>
        </w:rPr>
        <w:t>包装应当符合产品运输条件和产品本身的要求，确保其可适应于远距离运输、防潮、防震、防锈和防野蛮装卸，由此产生的费用由乙方承担。</w:t>
      </w:r>
    </w:p>
    <w:p>
      <w:pPr>
        <w:spacing w:line="360" w:lineRule="auto"/>
        <w:ind w:firstLine="420"/>
        <w:rPr>
          <w:rFonts w:hint="eastAsia" w:ascii="Times New Roman" w:hAnsi="Times New Roman"/>
          <w:b/>
          <w:bCs/>
          <w:sz w:val="24"/>
          <w:szCs w:val="24"/>
        </w:rPr>
      </w:pPr>
      <w:r>
        <w:rPr>
          <w:rFonts w:hint="eastAsia" w:ascii="宋体" w:hAnsi="宋体"/>
          <w:b/>
          <w:bCs/>
          <w:sz w:val="24"/>
          <w:szCs w:val="24"/>
        </w:rPr>
        <w:t>三、合同价款</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w:t>
      </w:r>
      <w:r>
        <w:rPr>
          <w:rFonts w:hint="eastAsia" w:ascii="宋体" w:hAnsi="宋体"/>
          <w:sz w:val="24"/>
          <w:szCs w:val="24"/>
          <w:lang w:eastAsia="zh-CN"/>
        </w:rPr>
        <w:t>本</w:t>
      </w:r>
      <w:r>
        <w:rPr>
          <w:rFonts w:hint="eastAsia" w:ascii="宋体" w:hAnsi="宋体"/>
          <w:sz w:val="24"/>
          <w:szCs w:val="24"/>
        </w:rPr>
        <w:t>合同</w:t>
      </w:r>
      <w:r>
        <w:rPr>
          <w:rFonts w:hint="eastAsia" w:ascii="宋体" w:hAnsi="宋体"/>
          <w:sz w:val="24"/>
          <w:szCs w:val="24"/>
          <w:lang w:eastAsia="zh-CN"/>
        </w:rPr>
        <w:t>基础家具</w:t>
      </w:r>
      <w:r>
        <w:rPr>
          <w:rFonts w:hint="eastAsia" w:ascii="宋体" w:hAnsi="宋体"/>
          <w:sz w:val="24"/>
          <w:szCs w:val="24"/>
        </w:rPr>
        <w:t>单价为固定单价，不受市场价变化的影响，不受实际工作量变化的影响。包含了家具深化设计、材料、制作、油漆、采购保管、运输（含运杂费、装卸费、保险费等）、安装、利润、税金、政府管理部门收取的质量检验费用、总包管理服务费、就位费等以及质保期内维保费用和相关技术服务等乙方完成本合同全部义务所需的的全部包干费用。</w:t>
      </w:r>
    </w:p>
    <w:p>
      <w:pPr>
        <w:spacing w:line="360" w:lineRule="auto"/>
        <w:ind w:firstLine="420"/>
        <w:rPr>
          <w:rFonts w:hint="eastAsia" w:ascii="Times New Roman" w:hAnsi="Times New Roman"/>
          <w:sz w:val="24"/>
          <w:szCs w:val="24"/>
        </w:rPr>
      </w:pPr>
      <w:r>
        <w:rPr>
          <w:rFonts w:hint="eastAsia" w:ascii="宋体" w:hAnsi="宋体"/>
          <w:sz w:val="24"/>
          <w:szCs w:val="24"/>
          <w:lang w:val="en-US" w:eastAsia="zh-CN"/>
        </w:rPr>
        <w:t>2、基础家具</w:t>
      </w:r>
      <w:r>
        <w:rPr>
          <w:rFonts w:hint="eastAsia" w:ascii="宋体" w:hAnsi="宋体"/>
          <w:sz w:val="24"/>
          <w:szCs w:val="24"/>
        </w:rPr>
        <w:t>最终结算价款以甲方确认的实际供货验收合格数量结合固定单价据实结算。</w:t>
      </w:r>
      <w:r>
        <w:rPr>
          <w:rFonts w:hint="eastAsia" w:ascii="宋体" w:hAnsi="宋体"/>
          <w:sz w:val="24"/>
          <w:szCs w:val="24"/>
          <w:lang w:eastAsia="zh-CN"/>
        </w:rPr>
        <w:t>非基础家具以乙方</w:t>
      </w:r>
      <w:r>
        <w:rPr>
          <w:rFonts w:hint="eastAsia" w:ascii="宋体" w:hAnsi="宋体"/>
          <w:sz w:val="24"/>
          <w:szCs w:val="24"/>
        </w:rPr>
        <w:t xml:space="preserve">完成工作联系函所列全部内容后交由甲方进行验收，乙方持工作联系函、验收单、等额合规发票与甲方办理结算手续。 </w:t>
      </w:r>
    </w:p>
    <w:p>
      <w:pPr>
        <w:spacing w:line="360" w:lineRule="auto"/>
        <w:ind w:firstLine="420"/>
        <w:rPr>
          <w:rFonts w:hint="eastAsia" w:ascii="Times New Roman" w:hAnsi="Times New Roman"/>
          <w:b/>
          <w:bCs/>
          <w:sz w:val="24"/>
          <w:szCs w:val="24"/>
        </w:rPr>
      </w:pPr>
      <w:r>
        <w:rPr>
          <w:rFonts w:hint="eastAsia" w:ascii="宋体" w:hAnsi="宋体"/>
          <w:b/>
          <w:bCs/>
          <w:sz w:val="24"/>
          <w:szCs w:val="24"/>
        </w:rPr>
        <w:t>四、合同价款的结算和支付</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、结算方式：甲方验收合格后，乙方持发票、中标通知书、供货合同、全部货物验收单与甲方办理结算。甲方付款前，乙方未按照甲方要求提供合规发票的，甲方有权拒付货款且不承担任何责任。</w:t>
      </w:r>
    </w:p>
    <w:p>
      <w:pPr>
        <w:spacing w:line="360" w:lineRule="auto"/>
        <w:ind w:firstLine="420"/>
        <w:rPr>
          <w:rFonts w:ascii="Times New Roman" w:hAnsi="Times New Roman"/>
          <w:sz w:val="24"/>
          <w:szCs w:val="24"/>
        </w:rPr>
      </w:pPr>
      <w:r>
        <w:rPr>
          <w:rFonts w:hint="eastAsia" w:ascii="Times New Roman" w:hAnsi="Times New Roman"/>
          <w:sz w:val="24"/>
          <w:szCs w:val="24"/>
        </w:rPr>
        <w:t>2</w:t>
      </w:r>
      <w:r>
        <w:rPr>
          <w:rFonts w:hint="eastAsia" w:ascii="宋体" w:hAnsi="宋体"/>
          <w:sz w:val="24"/>
          <w:szCs w:val="24"/>
        </w:rPr>
        <w:t>、分期付款方式：</w:t>
      </w:r>
      <w:r>
        <w:rPr>
          <w:rFonts w:hint="eastAsia" w:ascii="宋体" w:hAnsi="宋体"/>
          <w:sz w:val="24"/>
          <w:szCs w:val="24"/>
          <w:lang w:eastAsia="zh-CN"/>
        </w:rPr>
        <w:t>按季度结算本季度</w:t>
      </w:r>
      <w:r>
        <w:rPr>
          <w:rFonts w:hint="eastAsia" w:ascii="宋体" w:hAnsi="宋体"/>
          <w:sz w:val="24"/>
          <w:szCs w:val="24"/>
        </w:rPr>
        <w:t>到场安装调试验收合格</w:t>
      </w:r>
      <w:r>
        <w:rPr>
          <w:rFonts w:hint="eastAsia" w:ascii="宋体" w:hAnsi="宋体"/>
          <w:sz w:val="24"/>
          <w:szCs w:val="24"/>
          <w:lang w:eastAsia="zh-CN"/>
        </w:rPr>
        <w:t>的</w:t>
      </w:r>
      <w:r>
        <w:rPr>
          <w:rFonts w:hint="eastAsia" w:ascii="宋体" w:hAnsi="宋体"/>
          <w:sz w:val="24"/>
          <w:szCs w:val="24"/>
        </w:rPr>
        <w:t>货物货款的</w:t>
      </w:r>
      <w:r>
        <w:rPr>
          <w:rFonts w:hint="eastAsia" w:ascii="Times New Roman" w:hAnsi="Times New Roman"/>
          <w:sz w:val="24"/>
          <w:szCs w:val="24"/>
        </w:rPr>
        <w:t>95%</w:t>
      </w:r>
      <w:r>
        <w:rPr>
          <w:rFonts w:hint="eastAsia" w:ascii="宋体" w:hAnsi="宋体"/>
          <w:sz w:val="24"/>
          <w:szCs w:val="24"/>
        </w:rPr>
        <w:t>，剩余</w:t>
      </w:r>
      <w:r>
        <w:rPr>
          <w:rFonts w:hint="eastAsia" w:ascii="Times New Roman" w:hAnsi="Times New Roman"/>
          <w:sz w:val="24"/>
          <w:szCs w:val="24"/>
        </w:rPr>
        <w:t>5%</w:t>
      </w:r>
      <w:r>
        <w:rPr>
          <w:rFonts w:hint="eastAsia" w:ascii="宋体" w:hAnsi="宋体"/>
          <w:sz w:val="24"/>
          <w:szCs w:val="24"/>
        </w:rPr>
        <w:t>自甲方验收合格，正式使用两年后如无任何质量、服务问题时一次性无息付清。</w:t>
      </w:r>
    </w:p>
    <w:p>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、乙方相关信息：账户名：</w:t>
      </w:r>
      <w:r>
        <w:rPr>
          <w:rFonts w:hint="eastAsia" w:ascii="Times New Roman" w:hAnsi="Times New Roman"/>
          <w:sz w:val="24"/>
          <w:szCs w:val="24"/>
          <w:u w:val="single"/>
        </w:rPr>
        <w:t xml:space="preserve">     </w:t>
      </w:r>
      <w:r>
        <w:rPr>
          <w:rFonts w:hint="eastAsia" w:ascii="宋体" w:hAnsi="宋体"/>
          <w:sz w:val="24"/>
          <w:szCs w:val="24"/>
        </w:rPr>
        <w:t>，开户行：</w:t>
      </w:r>
      <w:r>
        <w:rPr>
          <w:rFonts w:hint="eastAsia" w:ascii="Times New Roman" w:hAnsi="Times New Roman"/>
          <w:sz w:val="24"/>
          <w:szCs w:val="24"/>
          <w:u w:val="single"/>
        </w:rPr>
        <w:t xml:space="preserve">       </w:t>
      </w:r>
      <w:r>
        <w:rPr>
          <w:rFonts w:hint="eastAsia" w:ascii="宋体" w:hAnsi="宋体"/>
          <w:sz w:val="24"/>
          <w:szCs w:val="24"/>
        </w:rPr>
        <w:t>，账号：</w:t>
      </w:r>
      <w:r>
        <w:rPr>
          <w:rFonts w:hint="eastAsia" w:ascii="Times New Roman" w:hAnsi="Times New Roman"/>
          <w:sz w:val="24"/>
          <w:szCs w:val="24"/>
          <w:u w:val="single"/>
        </w:rPr>
        <w:t xml:space="preserve">        </w:t>
      </w:r>
      <w:r>
        <w:rPr>
          <w:rFonts w:hint="eastAsia" w:ascii="宋体" w:hAnsi="宋体"/>
          <w:sz w:val="24"/>
          <w:szCs w:val="24"/>
        </w:rPr>
        <w:t>。合同履行期间，乙方账户信息发生变更时，乙方需在变更事项发生后的</w:t>
      </w:r>
      <w:r>
        <w:rPr>
          <w:rFonts w:hint="eastAsia" w:ascii="宋体" w:hAnsi="宋体"/>
          <w:sz w:val="24"/>
          <w:szCs w:val="24"/>
          <w:lang w:val="en-US" w:eastAsia="zh-CN"/>
        </w:rPr>
        <w:t>15</w:t>
      </w:r>
      <w:r>
        <w:rPr>
          <w:rFonts w:hint="eastAsia" w:ascii="宋体" w:hAnsi="宋体"/>
          <w:sz w:val="24"/>
          <w:szCs w:val="24"/>
        </w:rPr>
        <w:t>日内书面告知甲方，否则由此产生的不利后果由乙方全部承担。</w:t>
      </w:r>
    </w:p>
    <w:p>
      <w:pPr>
        <w:spacing w:line="360" w:lineRule="auto"/>
        <w:ind w:firstLine="420"/>
        <w:rPr>
          <w:rFonts w:ascii="Times New Roman" w:hAnsi="Times New Roman"/>
          <w:b/>
          <w:bCs/>
          <w:sz w:val="24"/>
          <w:szCs w:val="24"/>
        </w:rPr>
      </w:pPr>
      <w:r>
        <w:rPr>
          <w:rFonts w:hint="eastAsia" w:ascii="宋体" w:hAnsi="宋体"/>
          <w:b/>
          <w:bCs/>
          <w:sz w:val="24"/>
          <w:szCs w:val="24"/>
        </w:rPr>
        <w:t>五、技术标准、技术资料</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、乙方所供家具需为全新产品，供货的配置必须符合招标和投标标书要求，产品的规格、型号、材质、色泽、质量、环保标准必须符合国家相关行业规范，否则视为乙方未完成交货义务。</w:t>
      </w:r>
    </w:p>
    <w:p>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、若产品存在因所用原材料或加工工艺造成的质量检验和内外观缺陷问题，甲方有权拒收该类不合格产品，乙方需按照合同约定及招、投标文件要求另行提供合格产品并承担因此产生的各项费用，交货期不顺延。</w:t>
      </w:r>
    </w:p>
    <w:p>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、技术资料：</w:t>
      </w:r>
    </w:p>
    <w:p>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）乙方应在安装前，向甲方提供合同范围内的所涉及的所有需要检测产品的检测报告、合格证等有关资料。</w:t>
      </w:r>
    </w:p>
    <w:p>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）安装验收合格后</w:t>
      </w:r>
      <w:r>
        <w:rPr>
          <w:rFonts w:hint="eastAsia" w:ascii="Times New Roman" w:hAnsi="Times New Roman"/>
          <w:sz w:val="24"/>
          <w:szCs w:val="24"/>
        </w:rPr>
        <w:t>10</w:t>
      </w:r>
      <w:r>
        <w:rPr>
          <w:rFonts w:hint="eastAsia" w:ascii="宋体" w:hAnsi="宋体"/>
          <w:sz w:val="24"/>
          <w:szCs w:val="24"/>
        </w:rPr>
        <w:t>日后，乙方应将国标规范中要求提供的技术资料提交给甲方。</w:t>
      </w:r>
    </w:p>
    <w:p>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3</w:t>
      </w:r>
      <w:r>
        <w:rPr>
          <w:rFonts w:hint="eastAsia" w:ascii="宋体" w:hAnsi="宋体"/>
          <w:sz w:val="24"/>
          <w:szCs w:val="24"/>
        </w:rPr>
        <w:t>）乙方在履行合同同时有义务提供以下技术文件（包含但不限于以下）：</w:t>
      </w:r>
    </w:p>
    <w:p>
      <w:pPr>
        <w:spacing w:line="360" w:lineRule="auto"/>
        <w:ind w:firstLine="420"/>
        <w:rPr>
          <w:rFonts w:hint="eastAsia" w:ascii="Times New Roman" w:hAnsi="Times New Roman"/>
          <w:sz w:val="24"/>
          <w:szCs w:val="24"/>
        </w:rPr>
      </w:pPr>
      <w:r>
        <w:rPr>
          <w:rFonts w:hint="eastAsia" w:ascii="宋体" w:hAnsi="宋体"/>
          <w:sz w:val="24"/>
          <w:szCs w:val="24"/>
        </w:rPr>
        <w:t>①装箱清单，备品备件清单；</w:t>
      </w:r>
    </w:p>
    <w:p>
      <w:pPr>
        <w:spacing w:line="360" w:lineRule="auto"/>
        <w:ind w:firstLine="420"/>
        <w:rPr>
          <w:rFonts w:hint="eastAsia" w:ascii="Times New Roman" w:hAnsi="Times New Roman"/>
          <w:sz w:val="24"/>
          <w:szCs w:val="24"/>
        </w:rPr>
      </w:pPr>
      <w:r>
        <w:rPr>
          <w:rFonts w:hint="eastAsia" w:ascii="宋体" w:hAnsi="宋体"/>
          <w:sz w:val="24"/>
          <w:szCs w:val="24"/>
        </w:rPr>
        <w:t>②产品检验合格证</w:t>
      </w:r>
    </w:p>
    <w:p>
      <w:pPr>
        <w:spacing w:line="360" w:lineRule="auto"/>
        <w:ind w:firstLine="420"/>
        <w:rPr>
          <w:rFonts w:hint="eastAsia" w:ascii="Times New Roman" w:hAnsi="Times New Roman"/>
          <w:sz w:val="24"/>
          <w:szCs w:val="24"/>
        </w:rPr>
      </w:pPr>
      <w:r>
        <w:rPr>
          <w:rFonts w:hint="eastAsia" w:ascii="宋体" w:hAnsi="宋体"/>
          <w:sz w:val="24"/>
          <w:szCs w:val="24"/>
        </w:rPr>
        <w:t>③主要部件的实验合格证</w:t>
      </w:r>
    </w:p>
    <w:p>
      <w:pPr>
        <w:spacing w:line="360" w:lineRule="auto"/>
        <w:ind w:firstLine="420"/>
        <w:rPr>
          <w:rFonts w:hint="eastAsia" w:ascii="Times New Roman" w:hAnsi="Times New Roman"/>
          <w:sz w:val="24"/>
          <w:szCs w:val="24"/>
        </w:rPr>
      </w:pPr>
      <w:r>
        <w:rPr>
          <w:rFonts w:hint="eastAsia" w:ascii="宋体" w:hAnsi="宋体"/>
          <w:sz w:val="24"/>
          <w:szCs w:val="24"/>
        </w:rPr>
        <w:t>④安装、使用说明书</w:t>
      </w:r>
    </w:p>
    <w:p>
      <w:pPr>
        <w:spacing w:line="360" w:lineRule="auto"/>
        <w:ind w:firstLine="420"/>
        <w:rPr>
          <w:rFonts w:hint="eastAsia" w:ascii="Times New Roman" w:hAnsi="Times New Roman"/>
          <w:sz w:val="24"/>
          <w:szCs w:val="24"/>
        </w:rPr>
      </w:pPr>
      <w:r>
        <w:rPr>
          <w:rFonts w:hint="eastAsia" w:ascii="宋体" w:hAnsi="宋体"/>
          <w:sz w:val="24"/>
          <w:szCs w:val="24"/>
        </w:rPr>
        <w:t>⑤调试记录，验收说明书</w:t>
      </w:r>
      <w:r>
        <w:rPr>
          <w:rFonts w:hint="eastAsia" w:ascii="Times New Roman" w:hAnsi="Times New Roman"/>
          <w:sz w:val="24"/>
          <w:szCs w:val="24"/>
        </w:rPr>
        <w:t>(</w:t>
      </w:r>
      <w:r>
        <w:rPr>
          <w:rFonts w:hint="eastAsia" w:ascii="宋体" w:hAnsi="宋体"/>
          <w:sz w:val="24"/>
          <w:szCs w:val="24"/>
        </w:rPr>
        <w:t>调试完毕后提供</w:t>
      </w:r>
      <w:r>
        <w:rPr>
          <w:rFonts w:hint="eastAsia" w:ascii="Times New Roman" w:hAnsi="Times New Roman"/>
          <w:sz w:val="24"/>
          <w:szCs w:val="24"/>
        </w:rPr>
        <w:t>)</w:t>
      </w:r>
    </w:p>
    <w:p>
      <w:pPr>
        <w:spacing w:line="360" w:lineRule="auto"/>
        <w:ind w:firstLine="420"/>
        <w:rPr>
          <w:rFonts w:hint="eastAsia" w:ascii="Times New Roman" w:hAnsi="Times New Roman"/>
          <w:sz w:val="24"/>
          <w:szCs w:val="24"/>
        </w:rPr>
      </w:pPr>
      <w:r>
        <w:rPr>
          <w:rFonts w:hint="eastAsia" w:ascii="宋体" w:hAnsi="宋体"/>
          <w:sz w:val="24"/>
          <w:szCs w:val="24"/>
        </w:rPr>
        <w:t>⑥安装符合国家及行业相关规范要求</w:t>
      </w:r>
    </w:p>
    <w:p>
      <w:pPr>
        <w:spacing w:line="360" w:lineRule="auto"/>
        <w:ind w:firstLine="420"/>
        <w:rPr>
          <w:rFonts w:hint="eastAsia" w:ascii="Times New Roman" w:hAnsi="Times New Roman"/>
          <w:b/>
          <w:bCs/>
          <w:sz w:val="24"/>
          <w:szCs w:val="24"/>
        </w:rPr>
      </w:pPr>
      <w:r>
        <w:rPr>
          <w:rFonts w:hint="eastAsia" w:ascii="宋体" w:hAnsi="宋体"/>
          <w:b/>
          <w:bCs/>
          <w:sz w:val="24"/>
          <w:szCs w:val="24"/>
        </w:rPr>
        <w:t>六、验收与保管</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、到货验收：</w:t>
      </w:r>
    </w:p>
    <w:p>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）货物运达现场后，甲方对乙方提供的家具进行外观验收，确认产品的产地、规格、数量、材质等内容，必要时可请质检部门参与验收。</w:t>
      </w:r>
    </w:p>
    <w:p>
      <w:pPr>
        <w:spacing w:line="360" w:lineRule="auto"/>
        <w:ind w:firstLine="420"/>
        <w:rPr>
          <w:rFonts w:hint="eastAsia" w:ascii="Times New Roman" w:hAnsi="Times New Roman"/>
          <w:sz w:val="24"/>
          <w:szCs w:val="24"/>
        </w:rPr>
      </w:pPr>
      <w:r>
        <w:rPr>
          <w:rFonts w:hint="eastAsia" w:ascii="宋体" w:hAnsi="宋体"/>
          <w:sz w:val="24"/>
          <w:szCs w:val="24"/>
        </w:rPr>
        <w:t>①确认货物在产地、数量、材质、样式等方面与合同约定的一致。</w:t>
      </w:r>
    </w:p>
    <w:p>
      <w:pPr>
        <w:spacing w:line="360" w:lineRule="auto"/>
        <w:ind w:firstLine="420"/>
        <w:rPr>
          <w:rFonts w:hint="eastAsia" w:ascii="Times New Roman" w:hAnsi="Times New Roman"/>
          <w:sz w:val="24"/>
          <w:szCs w:val="24"/>
        </w:rPr>
      </w:pPr>
      <w:r>
        <w:rPr>
          <w:rFonts w:hint="eastAsia" w:ascii="宋体" w:hAnsi="宋体"/>
          <w:sz w:val="24"/>
          <w:szCs w:val="24"/>
        </w:rPr>
        <w:t>②货物应符合国家治理要求标准。</w:t>
      </w:r>
    </w:p>
    <w:p>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在包装箱体完好无损的情况下，货物数量、规格型号、外观质量、主要部件、产品合格证、技术规格说明书等与约定不符，乙方应负责补足或更换，如开箱前包装箱已经损坏，箱内货物有缺损或与约定不符的，亦由乙方负责。</w:t>
      </w:r>
    </w:p>
    <w:p>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、安装验收：</w:t>
      </w:r>
    </w:p>
    <w:p>
      <w:pPr>
        <w:spacing w:line="360" w:lineRule="auto"/>
        <w:ind w:firstLine="420"/>
        <w:rPr>
          <w:rFonts w:hint="eastAsia" w:ascii="Times New Roman" w:hAnsi="Times New Roman"/>
          <w:sz w:val="24"/>
          <w:szCs w:val="24"/>
        </w:rPr>
      </w:pPr>
      <w:r>
        <w:rPr>
          <w:rFonts w:hint="eastAsia" w:ascii="宋体" w:hAnsi="宋体"/>
          <w:sz w:val="24"/>
          <w:szCs w:val="24"/>
        </w:rPr>
        <w:t>乙方安装、调试完毕后，书面通知甲方进行综合验收。甲方接到通知后按照国家、行业以及本设备的技术参数和功能说明书等进行综合验收，验收合格后书面确认，签署综合验收单；验收不合格的，通知乙方在规定的时间内进行整改，直至验收合格。</w:t>
      </w:r>
    </w:p>
    <w:p>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、验收依据：</w:t>
      </w:r>
    </w:p>
    <w:p>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）本合同文本；</w:t>
      </w:r>
    </w:p>
    <w:p>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）国内相应的标准、规范；</w:t>
      </w:r>
    </w:p>
    <w:p>
      <w:pPr>
        <w:spacing w:line="360" w:lineRule="auto"/>
        <w:ind w:firstLine="420"/>
        <w:rPr>
          <w:rFonts w:hint="eastAsia"/>
          <w:sz w:val="24"/>
          <w:szCs w:val="24"/>
        </w:rPr>
      </w:pPr>
      <w:r>
        <w:rPr>
          <w:rFonts w:hint="eastAsia" w:ascii="宋体" w:hAnsi="宋体"/>
          <w:sz w:val="24"/>
          <w:szCs w:val="24"/>
        </w:rPr>
        <w:t>（</w:t>
      </w:r>
      <w:r>
        <w:rPr>
          <w:rFonts w:hint="eastAsia" w:ascii="Times New Roman" w:hAnsi="Times New Roman"/>
          <w:sz w:val="24"/>
          <w:szCs w:val="24"/>
        </w:rPr>
        <w:t>3</w:t>
      </w:r>
      <w:r>
        <w:rPr>
          <w:rFonts w:hint="eastAsia" w:ascii="宋体" w:hAnsi="宋体"/>
          <w:sz w:val="24"/>
          <w:szCs w:val="24"/>
        </w:rPr>
        <w:t>）招标文件、投标文件、中标通知书等相关文件；</w:t>
      </w:r>
    </w:p>
    <w:p>
      <w:pPr>
        <w:spacing w:line="360" w:lineRule="auto"/>
        <w:ind w:firstLine="420"/>
        <w:rPr>
          <w:rFonts w:hint="eastAsia" w:ascii="Times New Roman" w:hAnsi="Times New Roman"/>
          <w:b/>
          <w:bCs/>
          <w:sz w:val="24"/>
          <w:szCs w:val="24"/>
        </w:rPr>
      </w:pPr>
      <w:r>
        <w:rPr>
          <w:rFonts w:hint="eastAsia" w:ascii="宋体" w:hAnsi="宋体"/>
          <w:b/>
          <w:bCs/>
          <w:sz w:val="24"/>
          <w:szCs w:val="24"/>
        </w:rPr>
        <w:t>七、甲方的权利与义务</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、按本合同约定条款支付合同款项。</w:t>
      </w:r>
    </w:p>
    <w:p>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、负责为货物提供存放场所，综合验收完成前保管工作由乙方负责，综合验收完成后货物保管工作由甲方自负。</w:t>
      </w:r>
    </w:p>
    <w:p>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、按合同要求及时收货，办理验收手续。</w:t>
      </w:r>
    </w:p>
    <w:p>
      <w:pPr>
        <w:spacing w:line="360" w:lineRule="auto"/>
        <w:ind w:firstLine="420"/>
        <w:rPr>
          <w:rFonts w:hint="eastAsia" w:ascii="Times New Roman" w:hAnsi="Times New Roman"/>
          <w:b/>
          <w:bCs/>
          <w:sz w:val="24"/>
          <w:szCs w:val="24"/>
        </w:rPr>
      </w:pPr>
      <w:r>
        <w:rPr>
          <w:rFonts w:hint="eastAsia" w:ascii="宋体" w:hAnsi="宋体"/>
          <w:b/>
          <w:bCs/>
          <w:sz w:val="24"/>
          <w:szCs w:val="24"/>
        </w:rPr>
        <w:t>八、乙方的权利与义务</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、乙方负责按照合同要求向甲方提供合格的货物及正规财税发票。</w:t>
      </w:r>
    </w:p>
    <w:p>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、乙方负责将货物运送到甲方指定的地点，自到货至安装、调试检验合格及交付甲方前的保管工作。</w:t>
      </w:r>
    </w:p>
    <w:p>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、在现场具备安装条件时，乙方需及时进行现场安装技术指导工作。</w:t>
      </w:r>
    </w:p>
    <w:p>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、负责组织配备专业管理人员实施现场监理。</w:t>
      </w:r>
    </w:p>
    <w:p>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5</w:t>
      </w:r>
      <w:r>
        <w:rPr>
          <w:rFonts w:hint="eastAsia" w:ascii="宋体" w:hAnsi="宋体"/>
          <w:sz w:val="24"/>
          <w:szCs w:val="24"/>
        </w:rPr>
        <w:t>、移交随机资料一套及备用件，如甲方额外要求提供超过一套随机资料，乙方可有偿提供，价格另定。</w:t>
      </w:r>
    </w:p>
    <w:p>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w:t>
      </w:r>
      <w:r>
        <w:rPr>
          <w:rFonts w:hint="eastAsia" w:ascii="宋体" w:hAnsi="宋体"/>
          <w:sz w:val="24"/>
          <w:szCs w:val="24"/>
        </w:rPr>
        <w:t>、乙方在履行本合同期间所发生人身、财产等一切安全事故，均由乙方承担全部责任及费用，甲方不承担任何责任。</w:t>
      </w:r>
    </w:p>
    <w:p>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7</w:t>
      </w:r>
      <w:r>
        <w:rPr>
          <w:rFonts w:hint="eastAsia" w:ascii="宋体" w:hAnsi="宋体"/>
          <w:sz w:val="24"/>
          <w:szCs w:val="24"/>
        </w:rPr>
        <w:t>、乙方要做到工完场清，负责清理因履行本合同所产生的现场垃圾，并自行承担由此产生的各项费用；保护好安装现场甲方的成品及半成品工程。否则，产生的各项费用及损失由乙方承担。</w:t>
      </w:r>
    </w:p>
    <w:p>
      <w:pPr>
        <w:autoSpaceDE w:val="0"/>
        <w:spacing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hint="eastAsia" w:ascii="宋体" w:hAnsi="宋体"/>
          <w:sz w:val="24"/>
          <w:szCs w:val="24"/>
        </w:rPr>
        <w:t>、乙方负责合同范围内货物安装、技术资料整理、保修期维修、检测试验、技术指导及对甲方委派的技术人员进行现场培训，由此产生的费用已包含在合同价款中，甲方无需再支付任何费用。</w:t>
      </w:r>
    </w:p>
    <w:p>
      <w:pPr>
        <w:spacing w:line="360" w:lineRule="auto"/>
        <w:ind w:firstLine="420"/>
        <w:rPr>
          <w:rFonts w:hint="eastAsia" w:ascii="Times New Roman" w:hAnsi="Times New Roman"/>
          <w:sz w:val="24"/>
          <w:szCs w:val="24"/>
        </w:rPr>
      </w:pPr>
      <w:r>
        <w:rPr>
          <w:rFonts w:hint="eastAsia" w:ascii="Times New Roman" w:hAnsi="Times New Roman"/>
          <w:sz w:val="24"/>
          <w:szCs w:val="24"/>
        </w:rPr>
        <w:t>9</w:t>
      </w:r>
      <w:r>
        <w:rPr>
          <w:rFonts w:hint="eastAsia" w:ascii="宋体" w:hAnsi="宋体"/>
          <w:sz w:val="24"/>
          <w:szCs w:val="24"/>
        </w:rPr>
        <w:t>、乙方履行招、投标文件及本合同文件中的一切承诺及约定。</w:t>
      </w:r>
    </w:p>
    <w:p>
      <w:pPr>
        <w:spacing w:line="360" w:lineRule="auto"/>
        <w:ind w:firstLine="420"/>
        <w:rPr>
          <w:rFonts w:hint="eastAsia" w:ascii="Times New Roman" w:hAnsi="Times New Roman"/>
          <w:sz w:val="24"/>
          <w:szCs w:val="24"/>
        </w:rPr>
      </w:pPr>
      <w:r>
        <w:rPr>
          <w:rFonts w:hint="eastAsia" w:ascii="Times New Roman" w:hAnsi="Times New Roman"/>
          <w:sz w:val="24"/>
          <w:szCs w:val="24"/>
        </w:rPr>
        <w:t>10</w:t>
      </w:r>
      <w:r>
        <w:rPr>
          <w:rFonts w:hint="eastAsia" w:ascii="宋体" w:hAnsi="宋体"/>
          <w:sz w:val="24"/>
          <w:szCs w:val="24"/>
        </w:rPr>
        <w:t>、保证出售给甲方的家具的所有权以及知识产权等相关权利不存在瑕疵，不受第三方追诉，否则应承担由此给甲方造成的所有损失，该损失包括但不限于支付给第三方的赔偿费、甲方购买该家具的费用、诉讼</w:t>
      </w:r>
      <w:r>
        <w:rPr>
          <w:rFonts w:hint="eastAsia" w:ascii="Times New Roman" w:hAnsi="Times New Roman"/>
          <w:sz w:val="24"/>
          <w:szCs w:val="24"/>
        </w:rPr>
        <w:t>/</w:t>
      </w:r>
      <w:r>
        <w:rPr>
          <w:rFonts w:hint="eastAsia" w:ascii="宋体" w:hAnsi="宋体"/>
          <w:sz w:val="24"/>
          <w:szCs w:val="24"/>
        </w:rPr>
        <w:t>仲裁费、代理费、差旅费等。</w:t>
      </w:r>
    </w:p>
    <w:p>
      <w:pPr>
        <w:spacing w:line="360" w:lineRule="auto"/>
        <w:ind w:firstLine="420"/>
        <w:rPr>
          <w:rFonts w:hint="eastAsia" w:ascii="Times New Roman" w:hAnsi="Times New Roman"/>
          <w:b/>
          <w:bCs/>
          <w:sz w:val="24"/>
          <w:szCs w:val="24"/>
        </w:rPr>
      </w:pPr>
      <w:r>
        <w:rPr>
          <w:rFonts w:hint="eastAsia" w:ascii="宋体" w:hAnsi="宋体"/>
          <w:b/>
          <w:bCs/>
          <w:sz w:val="24"/>
          <w:szCs w:val="24"/>
        </w:rPr>
        <w:t>九、质保</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、质保期：家具质保期自乙方完成安装工作经甲方验收合格之日起</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宋体" w:hAnsi="宋体"/>
          <w:sz w:val="24"/>
          <w:szCs w:val="24"/>
        </w:rPr>
        <w:t>年。</w:t>
      </w:r>
    </w:p>
    <w:p>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若甲方在使用过程中故意造成的使用不当或故意造成的人为性损毁，由甲方自行负担维修，乙方不承担由此产生的维修费用，除前述情形外质保期内乙方须负责维护，且免费上门维修、更换。乙方未按甲方规定的时间进行维修或【</w:t>
      </w:r>
      <w:r>
        <w:rPr>
          <w:rFonts w:hint="eastAsia" w:ascii="宋体" w:hAnsi="宋体"/>
          <w:sz w:val="24"/>
          <w:szCs w:val="24"/>
          <w:lang w:val="en-US" w:eastAsia="zh-CN"/>
        </w:rPr>
        <w:t>3</w:t>
      </w:r>
      <w:r>
        <w:rPr>
          <w:rFonts w:hint="eastAsia" w:ascii="宋体" w:hAnsi="宋体"/>
          <w:sz w:val="24"/>
          <w:szCs w:val="24"/>
        </w:rPr>
        <w:t>】次无法修复的，甲方有权委托第三方进行维修，由此产生的费用由乙方承担，甲方有权从乙方的质保金中扣除，不足部分由乙方另行支付，同时乙方将被纳入甲方不良信誉名单，后期不得再参加甲方任何投标。</w:t>
      </w:r>
    </w:p>
    <w:p>
      <w:pPr>
        <w:spacing w:line="360" w:lineRule="auto"/>
        <w:ind w:firstLine="420"/>
        <w:rPr>
          <w:rFonts w:hint="eastAsia" w:ascii="Times New Roman" w:hAnsi="Times New Roman"/>
          <w:b/>
          <w:bCs/>
          <w:sz w:val="24"/>
          <w:szCs w:val="24"/>
        </w:rPr>
      </w:pPr>
      <w:r>
        <w:rPr>
          <w:rFonts w:hint="eastAsia" w:ascii="宋体" w:hAnsi="宋体"/>
          <w:b/>
          <w:bCs/>
          <w:sz w:val="24"/>
          <w:szCs w:val="24"/>
        </w:rPr>
        <w:t>十、违约责任</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、如乙方逾期交货，每逾期一日，乙方应向甲方支付逾期交付货物货款金额</w:t>
      </w:r>
      <w:r>
        <w:rPr>
          <w:rFonts w:hint="eastAsia" w:ascii="Times New Roman" w:hAnsi="Times New Roman"/>
          <w:sz w:val="24"/>
          <w:szCs w:val="24"/>
        </w:rPr>
        <w:t>1</w:t>
      </w:r>
      <w:r>
        <w:rPr>
          <w:rFonts w:hint="eastAsia" w:ascii="宋体" w:hAnsi="宋体"/>
          <w:sz w:val="24"/>
          <w:szCs w:val="24"/>
        </w:rPr>
        <w:t>‰的违约金，逾期超过十日，视为乙方根本违约，甲方有权单方解除本合同，合同自甲方书面解除通知送达乙方之日起解除，乙方除应在收到通知后的【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宋体" w:hAnsi="宋体"/>
          <w:sz w:val="24"/>
          <w:szCs w:val="24"/>
        </w:rPr>
        <w:t>承担违约金。如该违约责任不足以弥补甲方损失，乙方还应予以补足。</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乙方所供货物经开箱检验不符合双方约定的，应在甲方要求的期限内为甲方调换或补齐，自行承担由此产生的各项费用。乙方未按前述要求调换或补齐的，甲方有权单方解除本合同，合同自甲方书面解除通知送达乙方之日起解除，乙方除应在收到解除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宋体" w:hAnsi="宋体"/>
          <w:sz w:val="24"/>
          <w:szCs w:val="24"/>
        </w:rPr>
        <w:t>承担违约金。如该违约金不足以弥补甲方损失，乙方还应予以补足。</w:t>
      </w:r>
    </w:p>
    <w:p>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乙方所供的货物不符合招、投标文件及合同约定的技术及质量标准的，在甲方要求的期限内乙方必须重新按约定供货，并自行承担由此产生的各项费用；如乙方不能重新供货，甲方有权单方解除本合同，合同自甲方书面解除通知送达乙方之日起解除，乙方除应在收到解除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Times New Roman" w:hAnsi="Times New Roman"/>
          <w:sz w:val="24"/>
          <w:szCs w:val="24"/>
          <w:lang w:eastAsia="zh-CN"/>
        </w:rPr>
        <w:t>承担</w:t>
      </w:r>
      <w:r>
        <w:rPr>
          <w:rFonts w:hint="eastAsia" w:ascii="宋体" w:hAnsi="宋体"/>
          <w:sz w:val="24"/>
          <w:szCs w:val="24"/>
        </w:rPr>
        <w:t>违约金。如该违约金不足以弥补甲方损失，乙方还应予以补足。</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、乙方所供产品在正常使用中，由于产品本身质量问题给甲方、第三人造成人身、财产损害的，乙方应承担全部法律责任及费用。</w:t>
      </w:r>
    </w:p>
    <w:p>
      <w:pPr>
        <w:spacing w:line="360" w:lineRule="auto"/>
        <w:ind w:firstLine="420"/>
        <w:rPr>
          <w:rFonts w:hint="eastAsia" w:ascii="Times New Roman" w:hAnsi="Times New Roman"/>
          <w:sz w:val="24"/>
          <w:szCs w:val="24"/>
        </w:rPr>
      </w:pPr>
      <w:r>
        <w:rPr>
          <w:rFonts w:hint="eastAsia" w:ascii="Times New Roman" w:hAnsi="Times New Roman"/>
          <w:sz w:val="24"/>
          <w:szCs w:val="24"/>
        </w:rPr>
        <w:t>5</w:t>
      </w:r>
      <w:r>
        <w:rPr>
          <w:rFonts w:hint="eastAsia" w:ascii="宋体" w:hAnsi="宋体"/>
          <w:sz w:val="24"/>
          <w:szCs w:val="24"/>
        </w:rPr>
        <w:t>、因乙方提供的货物技术参数有误或因乙方原因导致无法安装，所发生的费用及损失由乙方承担，由此引起的交货期延误按本条第</w:t>
      </w:r>
      <w:r>
        <w:rPr>
          <w:rFonts w:hint="eastAsia" w:ascii="Times New Roman" w:hAnsi="Times New Roman"/>
          <w:sz w:val="24"/>
          <w:szCs w:val="24"/>
        </w:rPr>
        <w:t>1</w:t>
      </w:r>
      <w:r>
        <w:rPr>
          <w:rFonts w:hint="eastAsia" w:ascii="宋体" w:hAnsi="宋体"/>
          <w:sz w:val="24"/>
          <w:szCs w:val="24"/>
        </w:rPr>
        <w:t>款处理。</w:t>
      </w:r>
    </w:p>
    <w:p>
      <w:pPr>
        <w:spacing w:line="360" w:lineRule="auto"/>
        <w:ind w:firstLine="420"/>
        <w:rPr>
          <w:rFonts w:hint="eastAsia" w:ascii="Times New Roman" w:hAnsi="Times New Roman"/>
          <w:sz w:val="24"/>
          <w:szCs w:val="24"/>
        </w:rPr>
      </w:pPr>
      <w:r>
        <w:rPr>
          <w:rFonts w:hint="eastAsia" w:ascii="Times New Roman" w:hAnsi="Times New Roman"/>
          <w:sz w:val="24"/>
          <w:szCs w:val="24"/>
        </w:rPr>
        <w:t>6</w:t>
      </w:r>
      <w:r>
        <w:rPr>
          <w:rFonts w:hint="eastAsia" w:ascii="宋体" w:hAnsi="宋体"/>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spacing w:line="360" w:lineRule="auto"/>
        <w:ind w:firstLine="420"/>
        <w:rPr>
          <w:rFonts w:hint="eastAsia" w:ascii="Times New Roman" w:hAnsi="Times New Roman"/>
          <w:b/>
          <w:bCs/>
          <w:sz w:val="24"/>
          <w:szCs w:val="24"/>
        </w:rPr>
      </w:pPr>
      <w:r>
        <w:rPr>
          <w:rFonts w:hint="eastAsia" w:ascii="宋体" w:hAnsi="宋体"/>
          <w:b/>
          <w:bCs/>
          <w:sz w:val="24"/>
          <w:szCs w:val="24"/>
        </w:rPr>
        <w:t>十一、纠纷解决方式</w:t>
      </w:r>
    </w:p>
    <w:p>
      <w:pPr>
        <w:spacing w:line="360" w:lineRule="auto"/>
        <w:ind w:firstLine="420"/>
        <w:rPr>
          <w:rFonts w:hint="eastAsia" w:ascii="Times New Roman" w:hAnsi="Times New Roman"/>
          <w:sz w:val="24"/>
          <w:szCs w:val="24"/>
        </w:rPr>
      </w:pPr>
      <w:r>
        <w:rPr>
          <w:rFonts w:hint="eastAsia" w:ascii="宋体" w:hAnsi="宋体"/>
          <w:sz w:val="24"/>
          <w:szCs w:val="24"/>
        </w:rPr>
        <w:t>各方如有争议应协商解决，协商不成，可向甲方所在地有管辖权的人民法院提起诉讼。</w:t>
      </w:r>
    </w:p>
    <w:p>
      <w:pPr>
        <w:spacing w:line="360" w:lineRule="auto"/>
        <w:ind w:firstLine="420"/>
        <w:rPr>
          <w:rFonts w:hint="eastAsia" w:ascii="Times New Roman" w:hAnsi="Times New Roman"/>
          <w:b/>
          <w:bCs/>
          <w:sz w:val="24"/>
          <w:szCs w:val="24"/>
        </w:rPr>
      </w:pPr>
      <w:r>
        <w:rPr>
          <w:rFonts w:hint="eastAsia" w:ascii="宋体" w:hAnsi="宋体"/>
          <w:b/>
          <w:bCs/>
          <w:sz w:val="24"/>
          <w:szCs w:val="24"/>
        </w:rPr>
        <w:t>十二、其他</w:t>
      </w:r>
    </w:p>
    <w:p>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、本合同在执行期间，如有未尽事宜，需由甲乙双方协商，签订补充协议。补充协议与本合同具有同等法律效力。</w:t>
      </w:r>
    </w:p>
    <w:p>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、本合同正本一式</w:t>
      </w:r>
      <w:r>
        <w:rPr>
          <w:rFonts w:hint="eastAsia" w:ascii="Times New Roman" w:hAnsi="Times New Roman"/>
          <w:sz w:val="24"/>
          <w:szCs w:val="24"/>
          <w:u w:val="single"/>
        </w:rPr>
        <w:t xml:space="preserve"> </w:t>
      </w:r>
      <w:r>
        <w:rPr>
          <w:rFonts w:hint="eastAsia" w:ascii="宋体" w:hAnsi="宋体"/>
          <w:sz w:val="24"/>
          <w:szCs w:val="24"/>
          <w:u w:val="single"/>
        </w:rPr>
        <w:t>肆</w:t>
      </w:r>
      <w:r>
        <w:rPr>
          <w:rFonts w:hint="eastAsia" w:ascii="Times New Roman" w:hAnsi="Times New Roman"/>
          <w:sz w:val="24"/>
          <w:szCs w:val="24"/>
          <w:u w:val="single"/>
        </w:rPr>
        <w:t xml:space="preserve"> </w:t>
      </w:r>
      <w:r>
        <w:rPr>
          <w:rFonts w:hint="eastAsia" w:ascii="宋体" w:hAnsi="宋体"/>
          <w:sz w:val="24"/>
          <w:szCs w:val="24"/>
        </w:rPr>
        <w:t>份，甲、乙方各执</w:t>
      </w:r>
      <w:r>
        <w:rPr>
          <w:rFonts w:hint="eastAsia" w:ascii="Times New Roman" w:hAnsi="Times New Roman"/>
          <w:sz w:val="24"/>
          <w:szCs w:val="24"/>
          <w:u w:val="single"/>
        </w:rPr>
        <w:t xml:space="preserve"> </w:t>
      </w:r>
      <w:r>
        <w:rPr>
          <w:rFonts w:hint="eastAsia" w:ascii="宋体" w:hAnsi="宋体"/>
          <w:sz w:val="24"/>
          <w:szCs w:val="24"/>
          <w:u w:val="single"/>
        </w:rPr>
        <w:t>贰</w:t>
      </w:r>
      <w:r>
        <w:rPr>
          <w:rFonts w:hint="eastAsia" w:ascii="Times New Roman" w:hAnsi="Times New Roman"/>
          <w:sz w:val="24"/>
          <w:szCs w:val="24"/>
          <w:u w:val="single"/>
        </w:rPr>
        <w:t xml:space="preserve"> </w:t>
      </w:r>
      <w:r>
        <w:rPr>
          <w:rFonts w:hint="eastAsia" w:ascii="宋体" w:hAnsi="宋体"/>
          <w:sz w:val="24"/>
          <w:szCs w:val="24"/>
        </w:rPr>
        <w:t>份，均具有相同法律效力。</w:t>
      </w:r>
    </w:p>
    <w:p>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、本合同附件和本合同正文具有同等法律效力。</w:t>
      </w:r>
    </w:p>
    <w:p>
      <w:pPr>
        <w:spacing w:line="360" w:lineRule="auto"/>
        <w:ind w:firstLine="42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、本合同自双方签字盖章或盖章之日起生效。</w:t>
      </w:r>
    </w:p>
    <w:p>
      <w:pPr>
        <w:spacing w:line="360" w:lineRule="auto"/>
        <w:ind w:firstLine="420"/>
        <w:jc w:val="center"/>
        <w:rPr>
          <w:rFonts w:hint="eastAsia" w:ascii="Times New Roman" w:hAnsi="Times New Roman"/>
          <w:b/>
          <w:bCs/>
          <w:sz w:val="24"/>
          <w:szCs w:val="24"/>
        </w:rPr>
      </w:pPr>
      <w:r>
        <w:rPr>
          <w:rFonts w:hint="eastAsia" w:ascii="宋体" w:hAnsi="宋体"/>
          <w:b/>
          <w:bCs/>
          <w:sz w:val="24"/>
          <w:szCs w:val="24"/>
        </w:rPr>
        <w:t>（本页以下无正文）</w:t>
      </w:r>
    </w:p>
    <w:p>
      <w:pPr>
        <w:spacing w:line="360" w:lineRule="auto"/>
        <w:ind w:firstLine="420"/>
        <w:rPr>
          <w:rFonts w:hint="eastAsia" w:ascii="Times New Roman" w:hAnsi="Times New Roman"/>
          <w:sz w:val="24"/>
          <w:szCs w:val="24"/>
        </w:rPr>
      </w:pPr>
      <w:r>
        <w:rPr>
          <w:rFonts w:hint="eastAsia" w:ascii="Times New Roman" w:hAnsi="Times New Roman"/>
          <w:sz w:val="24"/>
          <w:szCs w:val="24"/>
        </w:rPr>
        <w:t xml:space="preserve"> </w:t>
      </w:r>
    </w:p>
    <w:p>
      <w:pPr>
        <w:widowControl/>
        <w:spacing w:line="360" w:lineRule="auto"/>
        <w:jc w:val="left"/>
        <w:rPr>
          <w:rFonts w:ascii="Times New Roman" w:hAnsi="Times New Roman"/>
          <w:sz w:val="24"/>
          <w:szCs w:val="24"/>
        </w:rPr>
        <w:sectPr>
          <w:pgSz w:w="11906" w:h="16838"/>
          <w:pgMar w:top="1440" w:right="1800" w:bottom="1402" w:left="1620" w:header="851" w:footer="992" w:gutter="0"/>
          <w:pgNumType w:fmt="decimal"/>
          <w:cols w:space="720" w:num="1"/>
          <w:docGrid w:type="lines" w:linePitch="312" w:charSpace="0"/>
        </w:sectPr>
      </w:pPr>
    </w:p>
    <w:p>
      <w:pPr>
        <w:spacing w:line="360" w:lineRule="auto"/>
        <w:ind w:firstLine="420"/>
        <w:rPr>
          <w:rFonts w:hint="eastAsia" w:ascii="Times New Roman" w:hAnsi="Times New Roman"/>
          <w:sz w:val="24"/>
          <w:szCs w:val="24"/>
        </w:rPr>
      </w:pPr>
      <w:r>
        <w:rPr>
          <w:rFonts w:hint="eastAsia" w:ascii="Times New Roman" w:hAnsi="Times New Roman"/>
          <w:sz w:val="24"/>
          <w:szCs w:val="24"/>
        </w:rPr>
        <w:t xml:space="preserve"> </w:t>
      </w:r>
    </w:p>
    <w:p>
      <w:pPr>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rPr>
          <w:rFonts w:hint="eastAsia" w:ascii="宋体" w:hAnsi="宋体"/>
          <w:sz w:val="24"/>
          <w:szCs w:val="24"/>
        </w:rPr>
        <w:sectPr>
          <w:type w:val="continuous"/>
          <w:pgSz w:w="11906" w:h="16838"/>
          <w:pgMar w:top="1440" w:right="1800" w:bottom="1402" w:left="1620" w:header="851" w:footer="992" w:gutter="0"/>
          <w:pgNumType w:fmt="decimal"/>
          <w:cols w:space="720" w:num="1"/>
          <w:docGrid w:type="lines" w:linePitch="312" w:charSpace="0"/>
        </w:sectPr>
      </w:pPr>
    </w:p>
    <w:p>
      <w:pPr>
        <w:autoSpaceDE w:val="0"/>
        <w:spacing w:line="360" w:lineRule="auto"/>
        <w:rPr>
          <w:rFonts w:hint="eastAsia" w:ascii="Times New Roman" w:hAnsi="Times New Roman"/>
          <w:sz w:val="24"/>
          <w:szCs w:val="24"/>
        </w:rPr>
      </w:pPr>
      <w:r>
        <w:rPr>
          <w:rFonts w:hint="eastAsia" w:ascii="宋体" w:hAnsi="宋体"/>
          <w:sz w:val="24"/>
          <w:szCs w:val="24"/>
        </w:rPr>
        <w:t>甲方（盖章）：陕西中医药大学第二附属医院</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rPr>
          <w:rFonts w:hint="eastAsia" w:ascii="Times New Roman" w:hAnsi="Times New Roman"/>
          <w:sz w:val="24"/>
          <w:szCs w:val="24"/>
        </w:rPr>
      </w:pPr>
      <w:r>
        <w:rPr>
          <w:rFonts w:hint="eastAsia" w:ascii="宋体" w:hAnsi="宋体"/>
          <w:sz w:val="24"/>
          <w:szCs w:val="24"/>
        </w:rPr>
        <w:t>法定代表人（签章）：</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rPr>
          <w:rFonts w:hint="eastAsia" w:ascii="Times New Roman" w:hAnsi="Times New Roman"/>
          <w:sz w:val="24"/>
          <w:szCs w:val="24"/>
        </w:rPr>
      </w:pPr>
      <w:r>
        <w:rPr>
          <w:rFonts w:hint="eastAsia" w:ascii="宋体" w:hAnsi="宋体"/>
          <w:sz w:val="24"/>
          <w:szCs w:val="24"/>
        </w:rPr>
        <w:t>授权委托人：</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rPr>
          <w:rFonts w:hint="eastAsia" w:ascii="Times New Roman" w:hAnsi="Times New Roman"/>
          <w:sz w:val="24"/>
          <w:szCs w:val="24"/>
        </w:rPr>
      </w:pPr>
      <w:r>
        <w:rPr>
          <w:rFonts w:hint="eastAsia" w:ascii="宋体" w:hAnsi="宋体"/>
          <w:sz w:val="24"/>
          <w:szCs w:val="24"/>
        </w:rPr>
        <w:t>经办人：</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r>
        <w:rPr>
          <w:rFonts w:hint="eastAsia" w:ascii="宋体" w:hAnsi="宋体"/>
          <w:sz w:val="24"/>
          <w:szCs w:val="24"/>
        </w:rPr>
        <w:t>年</w:t>
      </w:r>
      <w:r>
        <w:rPr>
          <w:rFonts w:hint="eastAsia" w:ascii="Times New Roman" w:hAnsi="Times New Roman"/>
          <w:sz w:val="24"/>
          <w:szCs w:val="24"/>
        </w:rPr>
        <w:t xml:space="preserve">   月    日               </w:t>
      </w:r>
    </w:p>
    <w:p>
      <w:pPr>
        <w:autoSpaceDE w:val="0"/>
        <w:spacing w:line="360" w:lineRule="auto"/>
        <w:rPr>
          <w:rFonts w:hint="eastAsia" w:ascii="Times New Roman" w:hAnsi="Times New Roman"/>
          <w:sz w:val="24"/>
          <w:szCs w:val="24"/>
        </w:rPr>
      </w:pPr>
      <w:r>
        <w:rPr>
          <w:rFonts w:hint="eastAsia" w:ascii="Times New Roman" w:hAnsi="Times New Roman"/>
          <w:sz w:val="24"/>
          <w:szCs w:val="24"/>
        </w:rPr>
        <w:tab/>
      </w:r>
    </w:p>
    <w:p>
      <w:pPr>
        <w:pStyle w:val="2"/>
        <w:spacing w:line="360" w:lineRule="auto"/>
        <w:ind w:left="0" w:leftChars="0" w:firstLine="0" w:firstLineChars="0"/>
        <w:rPr>
          <w:rFonts w:hint="eastAsia" w:ascii="Times New Roman" w:hAnsi="Times New Roman"/>
          <w:sz w:val="24"/>
          <w:szCs w:val="24"/>
        </w:rPr>
      </w:pP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r>
        <w:rPr>
          <w:rFonts w:hint="eastAsia" w:ascii="宋体" w:hAnsi="宋体"/>
          <w:sz w:val="24"/>
          <w:szCs w:val="24"/>
        </w:rPr>
        <w:t>乙方（盖章）：</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法定代表人（签章）：</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授权委托人：</w:t>
      </w:r>
    </w:p>
    <w:p>
      <w:pPr>
        <w:autoSpaceDE w:val="0"/>
        <w:spacing w:line="360" w:lineRule="auto"/>
        <w:rPr>
          <w:rFonts w:hint="eastAsia" w:ascii="Times New Roman" w:hAnsi="Times New Roman"/>
          <w:sz w:val="24"/>
          <w:szCs w:val="24"/>
        </w:rPr>
      </w:pPr>
      <w:r>
        <w:rPr>
          <w:rFonts w:hint="eastAsia" w:ascii="Times New Roman" w:hAnsi="Times New Roman"/>
          <w:sz w:val="24"/>
          <w:szCs w:val="24"/>
        </w:rPr>
        <w:t xml:space="preserve"> </w:t>
      </w:r>
    </w:p>
    <w:p>
      <w:pPr>
        <w:pStyle w:val="2"/>
        <w:spacing w:line="360" w:lineRule="auto"/>
        <w:rPr>
          <w:rFonts w:hint="eastAsia"/>
          <w:sz w:val="24"/>
          <w:szCs w:val="24"/>
        </w:rPr>
      </w:pPr>
    </w:p>
    <w:p>
      <w:pPr>
        <w:autoSpaceDE w:val="0"/>
        <w:spacing w:line="360"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 </w:t>
      </w:r>
      <w:r>
        <w:rPr>
          <w:rFonts w:hint="eastAsia" w:ascii="宋体" w:hAnsi="宋体"/>
          <w:sz w:val="24"/>
          <w:szCs w:val="24"/>
        </w:rPr>
        <w:t>年</w:t>
      </w:r>
      <w:r>
        <w:rPr>
          <w:rFonts w:hint="eastAsia" w:ascii="Times New Roman" w:hAnsi="Times New Roman"/>
          <w:sz w:val="24"/>
          <w:szCs w:val="24"/>
        </w:rPr>
        <w:t xml:space="preserve">   月    日   </w:t>
      </w:r>
    </w:p>
    <w:p>
      <w:pPr>
        <w:widowControl/>
        <w:jc w:val="left"/>
        <w:rPr>
          <w:rFonts w:ascii="Times New Roman" w:hAnsi="Times New Roman"/>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p>
    <w:p>
      <w:pPr>
        <w:numPr>
          <w:ilvl w:val="0"/>
          <w:numId w:val="0"/>
        </w:numPr>
        <w:jc w:val="center"/>
        <w:rPr>
          <w:rStyle w:val="23"/>
          <w:rFonts w:hint="eastAsia" w:ascii="宋体" w:hAnsi="宋体" w:eastAsia="宋体" w:cs="宋体"/>
          <w:b/>
          <w:sz w:val="36"/>
          <w:szCs w:val="36"/>
          <w:highlight w:val="none"/>
        </w:rPr>
      </w:pPr>
      <w:r>
        <w:rPr>
          <w:rStyle w:val="23"/>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3"/>
          <w:rFonts w:hint="eastAsia" w:ascii="宋体" w:hAnsi="宋体" w:eastAsia="宋体" w:cs="宋体"/>
          <w:bCs/>
          <w:color w:val="000000"/>
          <w:sz w:val="24"/>
          <w:szCs w:val="21"/>
          <w:highlight w:val="none"/>
        </w:rPr>
        <w:t>证金</w:t>
      </w:r>
      <w:r>
        <w:rPr>
          <w:rStyle w:val="23"/>
          <w:rFonts w:hint="eastAsia" w:ascii="宋体" w:hAnsi="宋体" w:eastAsia="宋体" w:cs="宋体"/>
          <w:b/>
          <w:color w:val="000000"/>
          <w:sz w:val="24"/>
          <w:szCs w:val="21"/>
          <w:highlight w:val="none"/>
          <w:u w:val="single"/>
        </w:rPr>
        <w:t>现金叁仟元人民币（含廉政保证金）</w:t>
      </w:r>
      <w:r>
        <w:rPr>
          <w:rStyle w:val="23"/>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2、投标方竟标缺席或竟标中途退场、影响竟标正常进行者；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3"/>
          <w:rFonts w:hint="eastAsia" w:ascii="宋体" w:hAnsi="宋体" w:eastAsia="宋体" w:cs="宋体"/>
          <w:bCs/>
          <w:sz w:val="24"/>
          <w:szCs w:val="21"/>
          <w:highlight w:val="none"/>
        </w:rPr>
      </w:pPr>
      <w:r>
        <w:rPr>
          <w:rStyle w:val="23"/>
          <w:rFonts w:hint="eastAsia" w:ascii="宋体" w:hAnsi="宋体" w:eastAsia="宋体" w:cs="宋体"/>
          <w:b/>
          <w:sz w:val="24"/>
          <w:szCs w:val="21"/>
          <w:highlight w:val="none"/>
          <w:u w:val="single"/>
        </w:rPr>
        <w:t>未中标企业在招标结束后7天内无息全额退还</w:t>
      </w:r>
      <w:r>
        <w:rPr>
          <w:rStyle w:val="23"/>
          <w:rFonts w:hint="eastAsia" w:ascii="宋体" w:hAnsi="宋体" w:cs="宋体"/>
          <w:b/>
          <w:sz w:val="24"/>
          <w:szCs w:val="21"/>
          <w:highlight w:val="none"/>
          <w:u w:val="single"/>
          <w:lang w:eastAsia="zh-CN"/>
        </w:rPr>
        <w:t>。</w:t>
      </w:r>
      <w:r>
        <w:rPr>
          <w:rStyle w:val="23"/>
          <w:rFonts w:hint="eastAsia" w:ascii="宋体" w:hAnsi="宋体" w:eastAsia="宋体" w:cs="宋体"/>
          <w:bCs/>
          <w:sz w:val="24"/>
          <w:szCs w:val="21"/>
          <w:highlight w:val="none"/>
        </w:rPr>
        <w:t>中标方的投标保证金</w:t>
      </w:r>
      <w:r>
        <w:rPr>
          <w:rStyle w:val="23"/>
          <w:rFonts w:hint="eastAsia" w:ascii="宋体" w:hAnsi="宋体" w:cs="宋体"/>
          <w:bCs/>
          <w:sz w:val="24"/>
          <w:szCs w:val="21"/>
          <w:highlight w:val="none"/>
          <w:lang w:val="en-US" w:eastAsia="zh-CN"/>
        </w:rPr>
        <w:t>在合同签订后7日内无息全额退还</w:t>
      </w:r>
      <w:r>
        <w:rPr>
          <w:rStyle w:val="23"/>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2"/>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3"/>
          <w:rFonts w:hint="eastAsia" w:ascii="宋体" w:hAnsi="宋体" w:eastAsia="宋体" w:cs="宋体"/>
          <w:kern w:val="0"/>
          <w:sz w:val="28"/>
          <w:szCs w:val="28"/>
          <w:highlight w:val="none"/>
        </w:rPr>
      </w:pPr>
      <w:r>
        <w:rPr>
          <w:rStyle w:val="23"/>
          <w:rFonts w:hint="eastAsia" w:ascii="宋体" w:hAnsi="宋体" w:eastAsia="宋体" w:cs="宋体"/>
          <w:b/>
          <w:sz w:val="28"/>
          <w:szCs w:val="28"/>
          <w:highlight w:val="none"/>
        </w:rPr>
        <w:t>标书编号：</w:t>
      </w:r>
      <w:r>
        <w:rPr>
          <w:rStyle w:val="23"/>
          <w:rFonts w:hint="eastAsia" w:ascii="宋体" w:hAnsi="宋体" w:cs="宋体"/>
          <w:b/>
          <w:color w:val="auto"/>
          <w:sz w:val="28"/>
          <w:szCs w:val="28"/>
          <w:highlight w:val="none"/>
          <w:lang w:eastAsia="zh-CN"/>
        </w:rPr>
        <w:t>SZRFYZB202208-076</w:t>
      </w:r>
      <w:r>
        <w:rPr>
          <w:rStyle w:val="23"/>
          <w:rFonts w:hint="eastAsia" w:ascii="宋体" w:hAnsi="宋体" w:eastAsia="宋体" w:cs="宋体"/>
          <w:b/>
          <w:color w:val="FF0000"/>
          <w:sz w:val="24"/>
          <w:szCs w:val="24"/>
          <w:highlight w:val="none"/>
        </w:rPr>
        <w:t xml:space="preserve">        </w:t>
      </w:r>
      <w:r>
        <w:rPr>
          <w:rStyle w:val="23"/>
          <w:rFonts w:hint="eastAsia" w:ascii="宋体" w:hAnsi="宋体" w:eastAsia="宋体" w:cs="宋体"/>
          <w:b/>
          <w:color w:val="FF0000"/>
          <w:sz w:val="24"/>
          <w:szCs w:val="24"/>
          <w:highlight w:val="none"/>
          <w:lang w:val="en-US" w:eastAsia="zh-CN"/>
        </w:rPr>
        <w:t xml:space="preserve">             </w:t>
      </w:r>
      <w:r>
        <w:rPr>
          <w:rStyle w:val="23"/>
          <w:rFonts w:hint="eastAsia" w:ascii="宋体" w:hAnsi="宋体" w:eastAsia="宋体" w:cs="宋体"/>
          <w:b/>
          <w:color w:val="FF0000"/>
          <w:sz w:val="24"/>
          <w:szCs w:val="24"/>
          <w:highlight w:val="none"/>
        </w:rPr>
        <w:t xml:space="preserve">     </w:t>
      </w:r>
      <w:r>
        <w:rPr>
          <w:rStyle w:val="23"/>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3"/>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3"/>
          <w:rFonts w:hint="eastAsia" w:ascii="宋体" w:hAnsi="宋体" w:eastAsia="宋体" w:cs="宋体"/>
          <w:color w:val="000000"/>
          <w:kern w:val="0"/>
          <w:sz w:val="24"/>
          <w:szCs w:val="24"/>
          <w:highlight w:val="none"/>
        </w:rPr>
      </w:pPr>
    </w:p>
    <w:p>
      <w:pPr>
        <w:pStyle w:val="11"/>
        <w:rPr>
          <w:rStyle w:val="23"/>
          <w:rFonts w:hint="eastAsia" w:ascii="宋体" w:hAnsi="宋体" w:eastAsia="宋体" w:cs="宋体"/>
          <w:color w:val="000000"/>
          <w:kern w:val="0"/>
          <w:sz w:val="24"/>
          <w:szCs w:val="24"/>
          <w:highlight w:val="none"/>
        </w:rPr>
      </w:pPr>
    </w:p>
    <w:p>
      <w:pPr>
        <w:pStyle w:val="11"/>
        <w:rPr>
          <w:rStyle w:val="23"/>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3"/>
          <w:rFonts w:hint="eastAsia" w:ascii="宋体" w:hAnsi="宋体" w:eastAsia="宋体" w:cs="宋体"/>
          <w:b/>
          <w:sz w:val="52"/>
          <w:szCs w:val="52"/>
          <w:highlight w:val="none"/>
        </w:rPr>
      </w:pPr>
      <w:r>
        <w:rPr>
          <w:rStyle w:val="23"/>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left="0" w:leftChars="0" w:right="0" w:firstLine="1040" w:firstLineChars="200"/>
        <w:jc w:val="both"/>
        <w:textAlignment w:val="auto"/>
        <w:rPr>
          <w:rStyle w:val="23"/>
          <w:rFonts w:hint="eastAsia" w:ascii="宋体" w:hAnsi="宋体" w:eastAsia="宋体" w:cs="宋体"/>
          <w:color w:val="000000"/>
          <w:kern w:val="0"/>
          <w:sz w:val="18"/>
          <w:szCs w:val="18"/>
          <w:highlight w:val="none"/>
        </w:rPr>
      </w:pPr>
      <w:r>
        <w:rPr>
          <w:rStyle w:val="23"/>
          <w:rFonts w:hint="eastAsia" w:ascii="宋体" w:hAnsi="宋体" w:cs="宋体"/>
          <w:b/>
          <w:sz w:val="52"/>
          <w:szCs w:val="52"/>
          <w:highlight w:val="none"/>
          <w:lang w:eastAsia="zh-CN"/>
        </w:rPr>
        <w:t>零星家具供货单位遴选项目</w:t>
      </w:r>
    </w:p>
    <w:p>
      <w:pPr>
        <w:keepNext w:val="0"/>
        <w:keepLines w:val="0"/>
        <w:pageBreakBefore w:val="0"/>
        <w:shd w:val="clear" w:color="auto" w:fill="FFFFFF"/>
        <w:kinsoku/>
        <w:overflowPunct/>
        <w:topLinePunct w:val="0"/>
        <w:bidi w:val="0"/>
        <w:spacing w:line="360" w:lineRule="auto"/>
        <w:ind w:right="0"/>
        <w:jc w:val="both"/>
        <w:textAlignment w:val="auto"/>
        <w:rPr>
          <w:rStyle w:val="23"/>
          <w:rFonts w:hint="eastAsia" w:ascii="宋体" w:hAnsi="宋体" w:eastAsia="宋体" w:cs="宋体"/>
          <w:color w:val="000000"/>
          <w:kern w:val="0"/>
          <w:sz w:val="18"/>
          <w:szCs w:val="18"/>
          <w:highlight w:val="none"/>
        </w:rPr>
      </w:pP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3"/>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3"/>
          <w:rFonts w:hint="eastAsia" w:ascii="宋体" w:hAnsi="宋体" w:eastAsia="宋体" w:cs="宋体"/>
          <w:b/>
          <w:color w:val="000000"/>
          <w:kern w:val="0"/>
          <w:sz w:val="52"/>
          <w:szCs w:val="52"/>
          <w:highlight w:val="none"/>
        </w:rPr>
      </w:pPr>
      <w:r>
        <w:rPr>
          <w:rStyle w:val="23"/>
          <w:rFonts w:hint="eastAsia" w:ascii="宋体" w:hAnsi="宋体" w:cs="宋体"/>
          <w:b/>
          <w:color w:val="000000"/>
          <w:kern w:val="0"/>
          <w:sz w:val="52"/>
          <w:szCs w:val="52"/>
          <w:highlight w:val="none"/>
          <w:lang w:eastAsia="zh-CN"/>
        </w:rPr>
        <w:t>投标</w:t>
      </w:r>
      <w:r>
        <w:rPr>
          <w:rStyle w:val="23"/>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3"/>
          <w:rFonts w:hint="eastAsia" w:ascii="宋体" w:hAnsi="宋体" w:eastAsia="宋体" w:cs="宋体"/>
          <w:b/>
          <w:sz w:val="28"/>
          <w:szCs w:val="28"/>
          <w:highlight w:val="none"/>
        </w:rPr>
      </w:pPr>
      <w:r>
        <w:rPr>
          <w:rStyle w:val="23"/>
          <w:rFonts w:hint="eastAsia" w:ascii="宋体" w:hAnsi="宋体" w:eastAsia="宋体" w:cs="宋体"/>
          <w:b/>
          <w:sz w:val="28"/>
          <w:szCs w:val="28"/>
          <w:highlight w:val="none"/>
        </w:rPr>
        <w:t>投  标  人：</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3"/>
          <w:rFonts w:hint="eastAsia" w:ascii="宋体" w:hAnsi="宋体" w:eastAsia="宋体" w:cs="宋体"/>
          <w:b/>
          <w:sz w:val="28"/>
          <w:szCs w:val="28"/>
          <w:highlight w:val="none"/>
        </w:rPr>
      </w:pPr>
      <w:r>
        <w:rPr>
          <w:rStyle w:val="23"/>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3"/>
          <w:rFonts w:hint="eastAsia" w:ascii="宋体" w:hAnsi="宋体" w:eastAsia="宋体" w:cs="宋体"/>
          <w:b/>
          <w:sz w:val="28"/>
          <w:szCs w:val="28"/>
          <w:highlight w:val="none"/>
        </w:rPr>
        <w:t xml:space="preserve">时      间：  </w:t>
      </w:r>
      <w:r>
        <w:rPr>
          <w:rStyle w:val="23"/>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ind w:firstLine="3401" w:firstLineChars="945"/>
        <w:outlineLvl w:val="0"/>
        <w:rPr>
          <w:rFonts w:ascii="宋体" w:hAnsi="宋体" w:cs="宋体"/>
          <w:b/>
          <w:sz w:val="36"/>
          <w:szCs w:val="36"/>
          <w:highlight w:val="none"/>
        </w:rPr>
      </w:pPr>
    </w:p>
    <w:p>
      <w:pPr>
        <w:ind w:firstLine="3401" w:firstLineChars="945"/>
        <w:outlineLvl w:val="0"/>
        <w:rPr>
          <w:rFonts w:ascii="宋体" w:hAnsi="宋体" w:cs="宋体"/>
          <w:b/>
          <w:sz w:val="36"/>
          <w:szCs w:val="36"/>
          <w:highlight w:val="none"/>
        </w:rPr>
      </w:pPr>
      <w:r>
        <w:rPr>
          <w:rFonts w:hint="eastAsia" w:ascii="宋体" w:hAnsi="宋体" w:cs="宋体"/>
          <w:b/>
          <w:sz w:val="36"/>
          <w:szCs w:val="36"/>
          <w:highlight w:val="none"/>
        </w:rPr>
        <w:t>目  录</w:t>
      </w:r>
    </w:p>
    <w:p>
      <w:pPr>
        <w:jc w:val="both"/>
        <w:outlineLvl w:val="0"/>
        <w:rPr>
          <w:rFonts w:ascii="宋体" w:hAnsi="宋体"/>
          <w:b/>
          <w:color w:val="000000"/>
          <w:sz w:val="28"/>
          <w:szCs w:val="28"/>
          <w:highlight w:val="none"/>
        </w:rPr>
      </w:pP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rPr>
      </w:pPr>
      <w:r>
        <w:rPr>
          <w:rStyle w:val="23"/>
          <w:rFonts w:hint="eastAsia" w:ascii="宋体" w:hAnsi="宋体" w:eastAsia="宋体" w:cs="宋体"/>
          <w:color w:val="000000"/>
          <w:kern w:val="0"/>
          <w:sz w:val="28"/>
          <w:szCs w:val="28"/>
          <w:highlight w:val="none"/>
        </w:rPr>
        <w:t>第一部分：</w:t>
      </w:r>
      <w:r>
        <w:rPr>
          <w:rStyle w:val="23"/>
          <w:rFonts w:hint="eastAsia" w:ascii="宋体" w:hAnsi="宋体" w:eastAsia="宋体" w:cs="宋体"/>
          <w:color w:val="000000"/>
          <w:kern w:val="0"/>
          <w:sz w:val="28"/>
          <w:szCs w:val="28"/>
          <w:highlight w:val="none"/>
          <w:lang w:eastAsia="zh-CN"/>
        </w:rPr>
        <w:t>投标</w:t>
      </w:r>
      <w:r>
        <w:rPr>
          <w:rStyle w:val="23"/>
          <w:rFonts w:hint="eastAsia" w:ascii="宋体" w:hAnsi="宋体" w:eastAsia="宋体" w:cs="宋体"/>
          <w:color w:val="000000"/>
          <w:kern w:val="0"/>
          <w:sz w:val="28"/>
          <w:szCs w:val="28"/>
          <w:highlight w:val="none"/>
        </w:rPr>
        <w:t>响应函</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rPr>
      </w:pPr>
      <w:r>
        <w:rPr>
          <w:rStyle w:val="23"/>
          <w:rFonts w:hint="eastAsia" w:ascii="宋体" w:hAnsi="宋体" w:eastAsia="宋体" w:cs="宋体"/>
          <w:color w:val="000000"/>
          <w:kern w:val="0"/>
          <w:sz w:val="28"/>
          <w:szCs w:val="28"/>
          <w:highlight w:val="none"/>
        </w:rPr>
        <w:t>第二部分：</w:t>
      </w:r>
      <w:r>
        <w:rPr>
          <w:rStyle w:val="23"/>
          <w:rFonts w:hint="eastAsia" w:ascii="宋体" w:hAnsi="宋体" w:eastAsia="宋体" w:cs="宋体"/>
          <w:color w:val="000000"/>
          <w:kern w:val="0"/>
          <w:sz w:val="28"/>
          <w:szCs w:val="28"/>
          <w:highlight w:val="none"/>
          <w:lang w:eastAsia="zh-CN"/>
        </w:rPr>
        <w:t>投标报</w:t>
      </w:r>
      <w:r>
        <w:rPr>
          <w:rStyle w:val="23"/>
          <w:rFonts w:hint="eastAsia" w:ascii="宋体" w:hAnsi="宋体" w:eastAsia="宋体" w:cs="宋体"/>
          <w:color w:val="000000"/>
          <w:kern w:val="0"/>
          <w:sz w:val="28"/>
          <w:szCs w:val="28"/>
          <w:highlight w:val="none"/>
        </w:rPr>
        <w:t>价表</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lang w:eastAsia="zh-CN"/>
        </w:rPr>
      </w:pPr>
      <w:r>
        <w:rPr>
          <w:rStyle w:val="23"/>
          <w:rFonts w:hint="eastAsia" w:ascii="宋体" w:hAnsi="宋体" w:eastAsia="宋体" w:cs="宋体"/>
          <w:color w:val="000000"/>
          <w:kern w:val="0"/>
          <w:sz w:val="28"/>
          <w:szCs w:val="28"/>
          <w:highlight w:val="none"/>
        </w:rPr>
        <w:t>第三部分：</w:t>
      </w:r>
      <w:r>
        <w:rPr>
          <w:rStyle w:val="23"/>
          <w:rFonts w:hint="eastAsia" w:ascii="宋体" w:hAnsi="宋体" w:eastAsia="宋体" w:cs="宋体"/>
          <w:color w:val="000000"/>
          <w:kern w:val="0"/>
          <w:sz w:val="28"/>
          <w:szCs w:val="28"/>
          <w:highlight w:val="none"/>
          <w:lang w:eastAsia="zh-CN"/>
        </w:rPr>
        <w:t>分项报价表</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lang w:eastAsia="zh-CN"/>
        </w:rPr>
      </w:pPr>
      <w:r>
        <w:rPr>
          <w:rStyle w:val="23"/>
          <w:rFonts w:hint="eastAsia" w:ascii="宋体" w:hAnsi="宋体" w:eastAsia="宋体" w:cs="宋体"/>
          <w:color w:val="000000"/>
          <w:kern w:val="0"/>
          <w:sz w:val="28"/>
          <w:szCs w:val="28"/>
          <w:highlight w:val="none"/>
          <w:lang w:eastAsia="zh-CN"/>
        </w:rPr>
        <w:t>第四部分：商务和技术偏差表</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五</w:t>
      </w:r>
      <w:r>
        <w:rPr>
          <w:rStyle w:val="23"/>
          <w:rFonts w:hint="eastAsia" w:ascii="宋体" w:hAnsi="宋体" w:eastAsia="宋体" w:cs="宋体"/>
          <w:color w:val="000000"/>
          <w:kern w:val="0"/>
          <w:sz w:val="28"/>
          <w:szCs w:val="28"/>
          <w:highlight w:val="none"/>
        </w:rPr>
        <w:t>部分：法定代表人（单位负责人）身份证明</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六</w:t>
      </w:r>
      <w:r>
        <w:rPr>
          <w:rStyle w:val="23"/>
          <w:rFonts w:hint="eastAsia" w:ascii="宋体" w:hAnsi="宋体" w:eastAsia="宋体" w:cs="宋体"/>
          <w:color w:val="000000"/>
          <w:kern w:val="0"/>
          <w:sz w:val="28"/>
          <w:szCs w:val="28"/>
          <w:highlight w:val="none"/>
        </w:rPr>
        <w:t>部分：法定代表人授权书</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七</w:t>
      </w:r>
      <w:r>
        <w:rPr>
          <w:rStyle w:val="23"/>
          <w:rFonts w:hint="eastAsia" w:ascii="宋体" w:hAnsi="宋体" w:eastAsia="宋体" w:cs="宋体"/>
          <w:color w:val="000000"/>
          <w:kern w:val="0"/>
          <w:sz w:val="28"/>
          <w:szCs w:val="28"/>
          <w:highlight w:val="none"/>
        </w:rPr>
        <w:t>部分：资格证明文件</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8"/>
          <w:szCs w:val="28"/>
          <w:highlight w:val="none"/>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八</w:t>
      </w:r>
      <w:r>
        <w:rPr>
          <w:rStyle w:val="23"/>
          <w:rFonts w:hint="eastAsia" w:ascii="宋体" w:hAnsi="宋体" w:eastAsia="宋体" w:cs="宋体"/>
          <w:color w:val="000000"/>
          <w:kern w:val="0"/>
          <w:sz w:val="28"/>
          <w:szCs w:val="28"/>
          <w:highlight w:val="none"/>
        </w:rPr>
        <w:t>部分：技术响应及其他相关情况</w:t>
      </w:r>
    </w:p>
    <w:p>
      <w:pPr>
        <w:keepNext w:val="0"/>
        <w:keepLines w:val="0"/>
        <w:pageBreakBefore w:val="0"/>
        <w:shd w:val="clear" w:color="auto" w:fill="FFFFFF"/>
        <w:kinsoku/>
        <w:overflowPunct/>
        <w:topLinePunct w:val="0"/>
        <w:bidi w:val="0"/>
        <w:spacing w:line="360" w:lineRule="auto"/>
        <w:ind w:left="0" w:leftChars="0" w:right="0" w:firstLine="560" w:firstLineChars="200"/>
        <w:textAlignment w:val="auto"/>
        <w:rPr>
          <w:rStyle w:val="23"/>
          <w:rFonts w:hint="eastAsia" w:ascii="宋体" w:hAnsi="宋体" w:eastAsia="宋体" w:cs="宋体"/>
          <w:color w:val="000000"/>
          <w:kern w:val="0"/>
          <w:sz w:val="22"/>
          <w:szCs w:val="22"/>
          <w:highlight w:val="none"/>
        </w:rPr>
      </w:pPr>
      <w:r>
        <w:rPr>
          <w:rStyle w:val="23"/>
          <w:rFonts w:hint="eastAsia" w:ascii="宋体" w:hAnsi="宋体" w:eastAsia="宋体" w:cs="宋体"/>
          <w:color w:val="000000"/>
          <w:kern w:val="0"/>
          <w:sz w:val="28"/>
          <w:szCs w:val="28"/>
          <w:highlight w:val="none"/>
        </w:rPr>
        <w:t>第</w:t>
      </w:r>
      <w:r>
        <w:rPr>
          <w:rStyle w:val="23"/>
          <w:rFonts w:hint="eastAsia" w:ascii="宋体" w:hAnsi="宋体" w:eastAsia="宋体" w:cs="宋体"/>
          <w:color w:val="000000"/>
          <w:kern w:val="0"/>
          <w:sz w:val="28"/>
          <w:szCs w:val="28"/>
          <w:highlight w:val="none"/>
          <w:lang w:eastAsia="zh-CN"/>
        </w:rPr>
        <w:t>九</w:t>
      </w:r>
      <w:r>
        <w:rPr>
          <w:rStyle w:val="23"/>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3"/>
          <w:rFonts w:hint="eastAsia" w:ascii="宋体" w:hAnsi="宋体" w:eastAsia="宋体" w:cs="宋体"/>
          <w:color w:val="000000"/>
          <w:kern w:val="0"/>
          <w:sz w:val="21"/>
          <w:szCs w:val="21"/>
          <w:highlight w:val="none"/>
        </w:rPr>
      </w:pPr>
    </w:p>
    <w:p>
      <w:pPr>
        <w:pStyle w:val="11"/>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3"/>
          <w:rFonts w:hint="eastAsia" w:ascii="宋体" w:hAnsi="宋体" w:eastAsia="宋体" w:cs="宋体"/>
          <w:b/>
          <w:color w:val="000000"/>
          <w:kern w:val="0"/>
          <w:sz w:val="24"/>
          <w:szCs w:val="24"/>
          <w:highlight w:val="none"/>
        </w:rPr>
      </w:pPr>
    </w:p>
    <w:p>
      <w:pPr>
        <w:pStyle w:val="2"/>
        <w:rPr>
          <w:rFonts w:hint="eastAsia"/>
          <w:highlight w:val="none"/>
        </w:rPr>
      </w:pPr>
    </w:p>
    <w:p>
      <w:pPr>
        <w:pStyle w:val="11"/>
        <w:jc w:val="both"/>
        <w:rPr>
          <w:rStyle w:val="23"/>
          <w:rFonts w:hint="eastAsia" w:ascii="宋体" w:hAnsi="宋体" w:eastAsia="宋体" w:cs="宋体"/>
          <w:b w:val="0"/>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3"/>
          <w:rFonts w:hint="eastAsia" w:ascii="宋体" w:hAnsi="宋体" w:eastAsia="宋体" w:cs="宋体"/>
          <w:b/>
          <w:bCs/>
          <w:sz w:val="28"/>
          <w:szCs w:val="28"/>
          <w:highlight w:val="none"/>
        </w:rPr>
      </w:pPr>
      <w:r>
        <w:rPr>
          <w:rStyle w:val="23"/>
          <w:rFonts w:hint="eastAsia" w:ascii="宋体" w:hAnsi="宋体" w:eastAsia="宋体" w:cs="宋体"/>
          <w:b/>
          <w:color w:val="000000"/>
          <w:kern w:val="0"/>
          <w:sz w:val="28"/>
          <w:szCs w:val="28"/>
          <w:highlight w:val="none"/>
        </w:rPr>
        <w:t xml:space="preserve">第一部分  </w:t>
      </w:r>
      <w:r>
        <w:rPr>
          <w:rStyle w:val="23"/>
          <w:rFonts w:hint="eastAsia" w:ascii="宋体" w:hAnsi="宋体" w:eastAsia="宋体" w:cs="宋体"/>
          <w:b/>
          <w:color w:val="000000"/>
          <w:kern w:val="0"/>
          <w:sz w:val="28"/>
          <w:szCs w:val="28"/>
          <w:highlight w:val="none"/>
          <w:lang w:eastAsia="zh-CN"/>
        </w:rPr>
        <w:t>投标</w:t>
      </w:r>
      <w:r>
        <w:rPr>
          <w:rStyle w:val="23"/>
          <w:rFonts w:hint="eastAsia" w:ascii="宋体" w:hAnsi="宋体" w:eastAsia="宋体" w:cs="宋体"/>
          <w:b/>
          <w:color w:val="000000"/>
          <w:kern w:val="0"/>
          <w:sz w:val="28"/>
          <w:szCs w:val="28"/>
          <w:highlight w:val="none"/>
        </w:rPr>
        <w:t>响应函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3"/>
          <w:rFonts w:hint="eastAsia" w:ascii="宋体" w:hAnsi="宋体" w:eastAsia="宋体" w:cs="宋体"/>
          <w:b/>
          <w:bCs/>
          <w:sz w:val="24"/>
          <w:szCs w:val="24"/>
          <w:highlight w:val="none"/>
        </w:rPr>
      </w:pPr>
      <w:r>
        <w:rPr>
          <w:rStyle w:val="23"/>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我方收到 （项目名称：陕西中医药大学第二附属医院零星家具供货单位遴选项目；项目编号：SZRFYZB202208-076 ）</w:t>
      </w:r>
      <w:r>
        <w:rPr>
          <w:rStyle w:val="23"/>
          <w:rFonts w:hint="eastAsia" w:ascii="宋体" w:hAnsi="宋体" w:eastAsia="宋体" w:cs="宋体"/>
          <w:sz w:val="24"/>
          <w:szCs w:val="24"/>
          <w:highlight w:val="none"/>
          <w:lang w:eastAsia="zh-CN"/>
        </w:rPr>
        <w:t>招标</w:t>
      </w:r>
      <w:r>
        <w:rPr>
          <w:rStyle w:val="23"/>
          <w:rFonts w:hint="eastAsia" w:ascii="宋体" w:hAnsi="宋体" w:eastAsia="宋体" w:cs="宋体"/>
          <w:sz w:val="24"/>
          <w:szCs w:val="24"/>
          <w:highlight w:val="none"/>
        </w:rPr>
        <w:t>文件，经我公司详细研究，我公司决定参加本项目的</w:t>
      </w:r>
      <w:r>
        <w:rPr>
          <w:rStyle w:val="23"/>
          <w:rFonts w:hint="eastAsia" w:ascii="宋体" w:hAnsi="宋体" w:eastAsia="宋体" w:cs="宋体"/>
          <w:sz w:val="24"/>
          <w:szCs w:val="24"/>
          <w:highlight w:val="none"/>
          <w:lang w:eastAsia="zh-CN"/>
        </w:rPr>
        <w:t>招标</w:t>
      </w:r>
      <w:r>
        <w:rPr>
          <w:rStyle w:val="23"/>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1.我方愿意按照</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2.我方提交的</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文件为正本</w:t>
      </w:r>
      <w:r>
        <w:rPr>
          <w:rStyle w:val="23"/>
          <w:rFonts w:hint="eastAsia" w:ascii="宋体" w:hAnsi="宋体" w:eastAsia="宋体" w:cs="宋体"/>
          <w:sz w:val="24"/>
          <w:szCs w:val="24"/>
          <w:highlight w:val="none"/>
          <w:u w:val="single"/>
          <w:lang w:val="en-US" w:eastAsia="zh-CN"/>
        </w:rPr>
        <w:t xml:space="preserve">   </w:t>
      </w:r>
      <w:r>
        <w:rPr>
          <w:rStyle w:val="23"/>
          <w:rFonts w:hint="eastAsia" w:ascii="宋体" w:hAnsi="宋体" w:eastAsia="宋体" w:cs="宋体"/>
          <w:sz w:val="24"/>
          <w:szCs w:val="24"/>
          <w:highlight w:val="none"/>
        </w:rPr>
        <w:t>份，副本</w:t>
      </w:r>
      <w:r>
        <w:rPr>
          <w:rStyle w:val="23"/>
          <w:rFonts w:hint="eastAsia" w:ascii="宋体" w:hAnsi="宋体" w:eastAsia="宋体" w:cs="宋体"/>
          <w:sz w:val="24"/>
          <w:szCs w:val="24"/>
          <w:highlight w:val="none"/>
          <w:u w:val="single"/>
          <w:lang w:val="en-US" w:eastAsia="zh-CN"/>
        </w:rPr>
        <w:t xml:space="preserve">   </w:t>
      </w:r>
      <w:r>
        <w:rPr>
          <w:rStyle w:val="23"/>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3.我方已详细阅读了本项目</w:t>
      </w:r>
      <w:r>
        <w:rPr>
          <w:rStyle w:val="23"/>
          <w:rFonts w:hint="eastAsia" w:ascii="宋体" w:hAnsi="宋体" w:eastAsia="宋体" w:cs="宋体"/>
          <w:sz w:val="24"/>
          <w:szCs w:val="24"/>
          <w:highlight w:val="none"/>
          <w:lang w:eastAsia="zh-CN"/>
        </w:rPr>
        <w:t>招标</w:t>
      </w:r>
      <w:r>
        <w:rPr>
          <w:rStyle w:val="23"/>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4.如果我方在</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后到规定的</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有效期内撤回</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5.我方同意向贵方提供可能要求的、与本次</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6.我方的</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文件在</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文件截止递交时间之后</w:t>
      </w:r>
      <w:r>
        <w:rPr>
          <w:rStyle w:val="23"/>
          <w:rFonts w:hint="eastAsia" w:ascii="宋体" w:hAnsi="宋体" w:eastAsia="宋体" w:cs="宋体"/>
          <w:sz w:val="24"/>
          <w:szCs w:val="24"/>
          <w:highlight w:val="none"/>
          <w:u w:val="single"/>
        </w:rPr>
        <w:t xml:space="preserve">   </w:t>
      </w:r>
      <w:r>
        <w:rPr>
          <w:rStyle w:val="23"/>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7.如果我方一旦成交，我方将保证按合同中规定的交货地点、交货</w:t>
      </w:r>
      <w:r>
        <w:rPr>
          <w:rStyle w:val="23"/>
          <w:rFonts w:hint="eastAsia" w:ascii="宋体" w:hAnsi="宋体" w:eastAsia="宋体" w:cs="宋体"/>
          <w:sz w:val="24"/>
          <w:szCs w:val="24"/>
          <w:highlight w:val="none"/>
          <w:lang w:eastAsia="zh-CN"/>
        </w:rPr>
        <w:t>要求</w:t>
      </w:r>
      <w:r>
        <w:rPr>
          <w:rStyle w:val="23"/>
          <w:rFonts w:hint="eastAsia" w:ascii="宋体" w:hAnsi="宋体" w:eastAsia="宋体" w:cs="宋体"/>
          <w:sz w:val="24"/>
          <w:szCs w:val="24"/>
          <w:highlight w:val="none"/>
        </w:rPr>
        <w:t>完成</w:t>
      </w:r>
      <w:r>
        <w:rPr>
          <w:rStyle w:val="23"/>
          <w:rFonts w:hint="eastAsia" w:ascii="宋体" w:hAnsi="宋体" w:eastAsia="宋体" w:cs="宋体"/>
          <w:sz w:val="24"/>
          <w:szCs w:val="24"/>
          <w:highlight w:val="none"/>
          <w:lang w:eastAsia="zh-CN"/>
        </w:rPr>
        <w:t>家具供应</w:t>
      </w:r>
      <w:r>
        <w:rPr>
          <w:rStyle w:val="23"/>
          <w:rFonts w:hint="eastAsia" w:ascii="宋体" w:hAnsi="宋体" w:eastAsia="宋体" w:cs="宋体"/>
          <w:sz w:val="24"/>
          <w:szCs w:val="24"/>
          <w:highlight w:val="none"/>
        </w:rPr>
        <w:t>，且保证质量保证期为</w:t>
      </w:r>
      <w:r>
        <w:rPr>
          <w:rStyle w:val="23"/>
          <w:rFonts w:hint="eastAsia" w:ascii="宋体" w:hAnsi="宋体" w:eastAsia="宋体" w:cs="宋体"/>
          <w:sz w:val="24"/>
          <w:szCs w:val="24"/>
          <w:highlight w:val="none"/>
          <w:u w:val="single"/>
        </w:rPr>
        <w:t xml:space="preserve">     </w:t>
      </w:r>
      <w:r>
        <w:rPr>
          <w:rStyle w:val="23"/>
          <w:rFonts w:hint="eastAsia" w:ascii="宋体" w:hAnsi="宋体" w:eastAsia="宋体" w:cs="宋体"/>
          <w:sz w:val="24"/>
          <w:szCs w:val="24"/>
          <w:highlight w:val="none"/>
        </w:rPr>
        <w:t>年。</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8.我方完全接受并</w:t>
      </w:r>
      <w:r>
        <w:rPr>
          <w:rStyle w:val="23"/>
          <w:rFonts w:hint="eastAsia" w:ascii="宋体" w:hAnsi="宋体" w:eastAsia="宋体" w:cs="宋体"/>
          <w:sz w:val="24"/>
          <w:szCs w:val="24"/>
          <w:highlight w:val="none"/>
          <w:lang w:eastAsia="zh-CN"/>
        </w:rPr>
        <w:t>响应招标</w:t>
      </w:r>
      <w:r>
        <w:rPr>
          <w:rStyle w:val="23"/>
          <w:rFonts w:hint="eastAsia" w:ascii="宋体" w:hAnsi="宋体" w:eastAsia="宋体" w:cs="宋体"/>
          <w:sz w:val="24"/>
          <w:szCs w:val="24"/>
          <w:highlight w:val="none"/>
        </w:rPr>
        <w:t>文件、答疑文件、评审办法、采购预算及限价等关于本项目相关文件的要求，严格遵守</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9.所有关于本次</w:t>
      </w:r>
      <w:r>
        <w:rPr>
          <w:rStyle w:val="23"/>
          <w:rFonts w:hint="eastAsia" w:ascii="宋体" w:hAnsi="宋体" w:eastAsia="宋体" w:cs="宋体"/>
          <w:sz w:val="24"/>
          <w:szCs w:val="24"/>
          <w:highlight w:val="none"/>
          <w:lang w:eastAsia="zh-CN"/>
        </w:rPr>
        <w:t>投标</w:t>
      </w:r>
      <w:r>
        <w:rPr>
          <w:rStyle w:val="23"/>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投标人名称：</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地    址：</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u w:val="single"/>
        </w:rPr>
      </w:pPr>
      <w:r>
        <w:rPr>
          <w:rStyle w:val="23"/>
          <w:rFonts w:hint="eastAsia" w:ascii="宋体" w:hAnsi="宋体" w:eastAsia="宋体" w:cs="宋体"/>
          <w:sz w:val="24"/>
          <w:szCs w:val="24"/>
          <w:highlight w:val="none"/>
        </w:rPr>
        <w:t>开户银行：</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u w:val="single"/>
        </w:rPr>
      </w:pPr>
      <w:r>
        <w:rPr>
          <w:rStyle w:val="23"/>
          <w:rFonts w:hint="eastAsia" w:ascii="宋体" w:hAnsi="宋体" w:eastAsia="宋体" w:cs="宋体"/>
          <w:sz w:val="24"/>
          <w:szCs w:val="24"/>
          <w:highlight w:val="none"/>
        </w:rPr>
        <w:t>帐    号：</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u w:val="single"/>
        </w:rPr>
      </w:pPr>
      <w:r>
        <w:rPr>
          <w:rStyle w:val="23"/>
          <w:rFonts w:hint="eastAsia" w:ascii="宋体" w:hAnsi="宋体" w:eastAsia="宋体" w:cs="宋体"/>
          <w:sz w:val="24"/>
          <w:szCs w:val="24"/>
          <w:highlight w:val="none"/>
        </w:rPr>
        <w:t>电    话：</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u w:val="single"/>
        </w:rPr>
      </w:pPr>
      <w:r>
        <w:rPr>
          <w:rStyle w:val="23"/>
          <w:rFonts w:hint="eastAsia" w:ascii="宋体" w:hAnsi="宋体" w:eastAsia="宋体" w:cs="宋体"/>
          <w:sz w:val="24"/>
          <w:szCs w:val="24"/>
          <w:highlight w:val="none"/>
        </w:rPr>
        <w:t>传    真：</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u w:val="single"/>
        </w:rPr>
      </w:pPr>
      <w:r>
        <w:rPr>
          <w:rStyle w:val="23"/>
          <w:rFonts w:hint="eastAsia" w:ascii="宋体" w:hAnsi="宋体" w:eastAsia="宋体" w:cs="宋体"/>
          <w:sz w:val="24"/>
          <w:szCs w:val="24"/>
          <w:highlight w:val="none"/>
        </w:rPr>
        <w:t>邮    编：</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u w:val="single"/>
        </w:rPr>
      </w:pPr>
      <w:r>
        <w:rPr>
          <w:rStyle w:val="23"/>
          <w:rFonts w:hint="eastAsia" w:ascii="宋体" w:hAnsi="宋体" w:eastAsia="宋体" w:cs="宋体"/>
          <w:sz w:val="24"/>
          <w:szCs w:val="24"/>
          <w:highlight w:val="none"/>
        </w:rPr>
        <w:t>授权代表：</w:t>
      </w:r>
      <w:r>
        <w:rPr>
          <w:rStyle w:val="23"/>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3"/>
          <w:rFonts w:hint="eastAsia" w:ascii="宋体" w:hAnsi="宋体" w:eastAsia="宋体" w:cs="宋体"/>
          <w:sz w:val="24"/>
          <w:szCs w:val="24"/>
          <w:highlight w:val="none"/>
          <w:u w:val="singl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9"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lang w:val="zh-CN"/>
        </w:rPr>
        <w:t>单位</w:t>
      </w:r>
      <w:r>
        <w:rPr>
          <w:rFonts w:ascii="宋体" w:hAnsi="宋体"/>
          <w:b/>
          <w:snapToGrid w:val="0"/>
          <w:kern w:val="0"/>
          <w:sz w:val="24"/>
          <w:highlight w:val="none"/>
        </w:rPr>
        <w:t xml:space="preserve"> </w:t>
      </w:r>
      <w:r>
        <w:rPr>
          <w:rFonts w:ascii="宋体" w:hAnsi="宋体"/>
          <w:b/>
          <w:snapToGrid w:val="0"/>
          <w:kern w:val="0"/>
          <w:sz w:val="24"/>
          <w:highlight w:val="none"/>
          <w:lang w:val="zh-CN"/>
        </w:rPr>
        <w:t>：元</w:t>
      </w:r>
      <w:r>
        <w:rPr>
          <w:rFonts w:ascii="宋体" w:hAnsi="宋体"/>
          <w:b/>
          <w:snapToGrid w:val="0"/>
          <w:kern w:val="0"/>
          <w:sz w:val="24"/>
          <w:highlight w:val="none"/>
        </w:rPr>
        <w:t xml:space="preserve"> </w:t>
      </w:r>
    </w:p>
    <w:tbl>
      <w:tblPr>
        <w:tblStyle w:val="14"/>
        <w:tblW w:w="9810" w:type="dxa"/>
        <w:jc w:val="center"/>
        <w:tblLayout w:type="fixed"/>
        <w:tblCellMar>
          <w:top w:w="0" w:type="dxa"/>
          <w:left w:w="108" w:type="dxa"/>
          <w:bottom w:w="0" w:type="dxa"/>
          <w:right w:w="108" w:type="dxa"/>
        </w:tblCellMar>
      </w:tblPr>
      <w:tblGrid>
        <w:gridCol w:w="2439"/>
        <w:gridCol w:w="3874"/>
        <w:gridCol w:w="2080"/>
        <w:gridCol w:w="1417"/>
      </w:tblGrid>
      <w:tr>
        <w:tblPrEx>
          <w:tblCellMar>
            <w:top w:w="0" w:type="dxa"/>
            <w:left w:w="108" w:type="dxa"/>
            <w:bottom w:w="0" w:type="dxa"/>
            <w:right w:w="108" w:type="dxa"/>
          </w:tblCellMar>
        </w:tblPrEx>
        <w:trPr>
          <w:trHeight w:val="567" w:hRule="atLeast"/>
          <w:jc w:val="center"/>
        </w:trPr>
        <w:tc>
          <w:tcPr>
            <w:tcW w:w="2439"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pPr>
              <w:autoSpaceDE w:val="0"/>
              <w:autoSpaceDN w:val="0"/>
              <w:adjustRightInd w:val="0"/>
              <w:snapToGrid w:val="0"/>
              <w:spacing w:line="500" w:lineRule="exact"/>
              <w:jc w:val="right"/>
              <w:rPr>
                <w:rFonts w:ascii="宋体" w:hAnsi="宋体"/>
                <w:snapToGrid w:val="0"/>
                <w:kern w:val="0"/>
                <w:sz w:val="24"/>
                <w:szCs w:val="24"/>
                <w:highlight w:val="none"/>
              </w:rPr>
            </w:pPr>
            <w:r>
              <w:rPr>
                <w:rFonts w:ascii="宋体" w:hAnsi="宋体"/>
                <w:snapToGrid w:val="0"/>
                <w:kern w:val="0"/>
                <w:sz w:val="24"/>
                <w:szCs w:val="24"/>
                <w:highlight w:val="none"/>
                <w:lang w:val="zh-CN"/>
              </w:rPr>
              <w:t>报价内容</w:t>
            </w:r>
          </w:p>
          <w:p>
            <w:pPr>
              <w:autoSpaceDE w:val="0"/>
              <w:autoSpaceDN w:val="0"/>
              <w:adjustRightInd w:val="0"/>
              <w:snapToGrid w:val="0"/>
              <w:spacing w:line="500" w:lineRule="exact"/>
              <w:ind w:left="-1" w:hanging="419"/>
              <w:rPr>
                <w:rFonts w:ascii="宋体" w:hAnsi="宋体"/>
                <w:snapToGrid w:val="0"/>
                <w:kern w:val="0"/>
                <w:sz w:val="24"/>
                <w:szCs w:val="24"/>
                <w:highlight w:val="none"/>
              </w:rPr>
            </w:pPr>
          </w:p>
          <w:p>
            <w:pPr>
              <w:autoSpaceDE w:val="0"/>
              <w:autoSpaceDN w:val="0"/>
              <w:adjustRightInd w:val="0"/>
              <w:snapToGrid w:val="0"/>
              <w:spacing w:line="500" w:lineRule="exact"/>
              <w:rPr>
                <w:rFonts w:ascii="宋体" w:hAnsi="宋体"/>
                <w:snapToGrid w:val="0"/>
                <w:kern w:val="0"/>
                <w:sz w:val="24"/>
                <w:szCs w:val="24"/>
                <w:highlight w:val="none"/>
              </w:rPr>
            </w:pPr>
            <w:r>
              <w:rPr>
                <w:rFonts w:hint="eastAsia" w:ascii="宋体" w:hAnsi="宋体"/>
                <w:snapToGrid w:val="0"/>
                <w:kern w:val="0"/>
                <w:sz w:val="24"/>
                <w:szCs w:val="24"/>
                <w:highlight w:val="none"/>
                <w:lang w:val="zh-CN"/>
              </w:rPr>
              <w:t>货物</w:t>
            </w:r>
            <w:r>
              <w:rPr>
                <w:rFonts w:ascii="宋体" w:hAnsi="宋体"/>
                <w:snapToGrid w:val="0"/>
                <w:kern w:val="0"/>
                <w:sz w:val="24"/>
                <w:szCs w:val="24"/>
                <w:highlight w:val="none"/>
                <w:lang w:val="zh-CN"/>
              </w:rPr>
              <w:t>名称</w:t>
            </w:r>
          </w:p>
        </w:tc>
        <w:tc>
          <w:tcPr>
            <w:tcW w:w="3874"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napToGrid w:val="0"/>
              <w:spacing w:line="500" w:lineRule="exact"/>
              <w:jc w:val="center"/>
              <w:rPr>
                <w:rFonts w:ascii="宋体" w:hAnsi="宋体"/>
                <w:snapToGrid w:val="0"/>
                <w:kern w:val="0"/>
                <w:sz w:val="24"/>
                <w:szCs w:val="24"/>
                <w:highlight w:val="none"/>
              </w:rPr>
            </w:pPr>
            <w:r>
              <w:rPr>
                <w:rFonts w:hint="eastAsia" w:ascii="宋体" w:hAnsi="宋体"/>
                <w:snapToGrid w:val="0"/>
                <w:kern w:val="0"/>
                <w:sz w:val="24"/>
                <w:szCs w:val="24"/>
                <w:highlight w:val="none"/>
                <w:lang w:eastAsia="zh-CN"/>
              </w:rPr>
              <w:t>基础家具</w:t>
            </w:r>
          </w:p>
        </w:tc>
        <w:tc>
          <w:tcPr>
            <w:tcW w:w="208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spacing w:line="500" w:lineRule="exact"/>
              <w:jc w:val="center"/>
              <w:rPr>
                <w:rFonts w:hint="eastAsia" w:ascii="宋体" w:hAnsi="宋体"/>
                <w:snapToGrid w:val="0"/>
                <w:kern w:val="0"/>
                <w:sz w:val="24"/>
                <w:szCs w:val="24"/>
                <w:highlight w:val="none"/>
                <w:lang w:eastAsia="zh-CN"/>
              </w:rPr>
            </w:pPr>
            <w:r>
              <w:rPr>
                <w:rFonts w:hint="eastAsia" w:ascii="宋体" w:hAnsi="宋体"/>
                <w:snapToGrid w:val="0"/>
                <w:kern w:val="0"/>
                <w:sz w:val="24"/>
                <w:szCs w:val="24"/>
                <w:highlight w:val="none"/>
                <w:lang w:eastAsia="zh-CN"/>
              </w:rPr>
              <w:t>非基础家具</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500" w:lineRule="exact"/>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eastAsia="zh-CN"/>
              </w:rPr>
              <w:t>备注</w:t>
            </w:r>
          </w:p>
        </w:tc>
      </w:tr>
      <w:tr>
        <w:tblPrEx>
          <w:tblCellMar>
            <w:top w:w="0" w:type="dxa"/>
            <w:left w:w="108" w:type="dxa"/>
            <w:bottom w:w="0" w:type="dxa"/>
            <w:right w:w="108" w:type="dxa"/>
          </w:tblCellMar>
        </w:tblPrEx>
        <w:trPr>
          <w:trHeight w:val="2670" w:hRule="atLeast"/>
          <w:jc w:val="center"/>
        </w:trPr>
        <w:tc>
          <w:tcPr>
            <w:tcW w:w="24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rPr>
              <w:t>陕西中医药大学第二附属医院</w:t>
            </w:r>
            <w:r>
              <w:rPr>
                <w:rFonts w:hint="eastAsia" w:ascii="宋体" w:hAnsi="宋体"/>
                <w:snapToGrid w:val="0"/>
                <w:kern w:val="0"/>
                <w:sz w:val="24"/>
                <w:szCs w:val="24"/>
                <w:highlight w:val="none"/>
                <w:lang w:eastAsia="zh-CN"/>
              </w:rPr>
              <w:t>零星家具供货单位遴选项目</w:t>
            </w:r>
          </w:p>
        </w:tc>
        <w:tc>
          <w:tcPr>
            <w:tcW w:w="387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rPr>
                <w:rFonts w:ascii="宋体" w:hAnsi="宋体"/>
                <w:snapToGrid w:val="0"/>
                <w:kern w:val="0"/>
                <w:sz w:val="24"/>
                <w:szCs w:val="24"/>
                <w:highlight w:val="none"/>
              </w:rPr>
            </w:pPr>
            <w:r>
              <w:rPr>
                <w:rFonts w:ascii="宋体" w:hAnsi="宋体"/>
                <w:snapToGrid w:val="0"/>
                <w:kern w:val="0"/>
                <w:sz w:val="24"/>
                <w:szCs w:val="24"/>
                <w:highlight w:val="none"/>
              </w:rPr>
              <w:t>总计：</w:t>
            </w:r>
          </w:p>
          <w:p>
            <w:pPr>
              <w:adjustRightInd w:val="0"/>
              <w:snapToGrid w:val="0"/>
              <w:spacing w:line="500" w:lineRule="exact"/>
              <w:rPr>
                <w:rFonts w:ascii="宋体" w:hAnsi="宋体"/>
                <w:snapToGrid w:val="0"/>
                <w:kern w:val="0"/>
                <w:sz w:val="24"/>
                <w:szCs w:val="24"/>
                <w:highlight w:val="none"/>
              </w:rPr>
            </w:pPr>
            <w:r>
              <w:rPr>
                <w:rFonts w:ascii="宋体" w:hAnsi="宋体"/>
                <w:snapToGrid w:val="0"/>
                <w:kern w:val="0"/>
                <w:sz w:val="24"/>
                <w:szCs w:val="24"/>
                <w:highlight w:val="none"/>
              </w:rPr>
              <w:t xml:space="preserve">人民币大写：                  </w:t>
            </w:r>
          </w:p>
          <w:p>
            <w:pPr>
              <w:adjustRightInd w:val="0"/>
              <w:snapToGrid w:val="0"/>
              <w:spacing w:line="500" w:lineRule="exact"/>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      元</w:t>
            </w:r>
          </w:p>
        </w:tc>
        <w:tc>
          <w:tcPr>
            <w:tcW w:w="2080"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eastAsia="zh-CN"/>
              </w:rPr>
              <w:t>由遴选入围单位根据实际情况，另行报价</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spacing w:line="500" w:lineRule="exact"/>
              <w:jc w:val="center"/>
              <w:rPr>
                <w:rFonts w:ascii="宋体" w:hAnsi="宋体"/>
                <w:snapToGrid w:val="0"/>
                <w:kern w:val="0"/>
                <w:sz w:val="24"/>
                <w:szCs w:val="24"/>
                <w:highlight w:val="none"/>
              </w:rPr>
            </w:pPr>
          </w:p>
        </w:tc>
      </w:tr>
    </w:tbl>
    <w:p>
      <w:pPr>
        <w:pStyle w:val="2"/>
        <w:ind w:left="0" w:leftChars="0" w:firstLine="0" w:firstLineChars="0"/>
        <w:rPr>
          <w:rFonts w:hint="eastAsia"/>
          <w:highlight w:val="none"/>
        </w:rPr>
      </w:pP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注：1、总报价包括产品供应价、运杂费（含保险）、装卸费、及其它相关</w:t>
      </w:r>
      <w:r>
        <w:rPr>
          <w:rFonts w:hint="eastAsia" w:ascii="宋体" w:hAnsi="宋体" w:eastAsia="宋体" w:cs="宋体"/>
          <w:sz w:val="21"/>
          <w:szCs w:val="21"/>
          <w:highlight w:val="none"/>
          <w:lang w:eastAsia="zh-CN"/>
        </w:rPr>
        <w:t>一切</w:t>
      </w:r>
      <w:r>
        <w:rPr>
          <w:rFonts w:hint="eastAsia" w:ascii="宋体" w:hAnsi="宋体" w:eastAsia="宋体" w:cs="宋体"/>
          <w:sz w:val="21"/>
          <w:szCs w:val="21"/>
          <w:highlight w:val="none"/>
        </w:rPr>
        <w:t>费用。</w:t>
      </w:r>
    </w:p>
    <w:p>
      <w:pPr>
        <w:keepNext w:val="0"/>
        <w:keepLines w:val="0"/>
        <w:pageBreakBefore w:val="0"/>
        <w:kinsoku/>
        <w:overflowPunct/>
        <w:topLinePunct w:val="0"/>
        <w:bidi w:val="0"/>
        <w:spacing w:line="360" w:lineRule="auto"/>
        <w:ind w:left="0" w:leftChars="0" w:right="0"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2、本表必须按给定格式填写完整，不允许空白，如无相应内容，填“无”。</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pStyle w:val="2"/>
        <w:rPr>
          <w:rFonts w:hint="eastAsia"/>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0"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numPr>
          <w:ilvl w:val="0"/>
          <w:numId w:val="3"/>
        </w:numPr>
        <w:kinsoku/>
        <w:overflowPunct/>
        <w:topLinePunct w:val="0"/>
        <w:bidi w:val="0"/>
        <w:spacing w:line="360" w:lineRule="auto"/>
        <w:ind w:right="0"/>
        <w:jc w:val="center"/>
        <w:textAlignment w:val="auto"/>
        <w:rPr>
          <w:rFonts w:hint="eastAsia" w:ascii="宋体" w:hAnsi="宋体" w:eastAsia="宋体" w:cs="宋体"/>
          <w:b/>
          <w:bCs/>
          <w:sz w:val="28"/>
          <w:szCs w:val="28"/>
          <w:highlight w:val="none"/>
          <w:lang w:val="en-US" w:eastAsia="zh-CN"/>
        </w:rPr>
      </w:pPr>
      <w:bookmarkStart w:id="12" w:name="_Toc193187105"/>
      <w:bookmarkStart w:id="13" w:name="_Toc194663926"/>
      <w:bookmarkStart w:id="14" w:name="_Toc188808840"/>
      <w:bookmarkStart w:id="15" w:name="_Toc193126889"/>
      <w:r>
        <w:rPr>
          <w:rFonts w:hint="eastAsia" w:ascii="宋体" w:hAnsi="宋体" w:eastAsia="宋体" w:cs="宋体"/>
          <w:b/>
          <w:bCs/>
          <w:sz w:val="28"/>
          <w:szCs w:val="28"/>
          <w:highlight w:val="none"/>
          <w:lang w:val="en-US" w:eastAsia="zh-CN"/>
        </w:rPr>
        <w:t xml:space="preserve"> 分项报价表</w:t>
      </w:r>
    </w:p>
    <w:p>
      <w:pPr>
        <w:pStyle w:val="5"/>
        <w:ind w:left="0" w:leftChars="0" w:firstLine="0" w:firstLineChars="0"/>
        <w:jc w:val="both"/>
        <w:rPr>
          <w:rStyle w:val="24"/>
          <w:b/>
          <w:highlight w:val="none"/>
        </w:rPr>
      </w:pP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4"/>
        <w:tblW w:w="0" w:type="auto"/>
        <w:jc w:val="center"/>
        <w:tblLayout w:type="fixed"/>
        <w:tblCellMar>
          <w:top w:w="0" w:type="dxa"/>
          <w:left w:w="108" w:type="dxa"/>
          <w:bottom w:w="0" w:type="dxa"/>
          <w:right w:w="108" w:type="dxa"/>
        </w:tblCellMar>
      </w:tblPr>
      <w:tblGrid>
        <w:gridCol w:w="709"/>
        <w:gridCol w:w="1181"/>
        <w:gridCol w:w="1260"/>
        <w:gridCol w:w="735"/>
        <w:gridCol w:w="1077"/>
        <w:gridCol w:w="992"/>
        <w:gridCol w:w="1559"/>
        <w:gridCol w:w="816"/>
        <w:gridCol w:w="1365"/>
      </w:tblGrid>
      <w:tr>
        <w:tblPrEx>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118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分项名称</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规格型号</w:t>
            </w:r>
          </w:p>
        </w:tc>
        <w:tc>
          <w:tcPr>
            <w:tcW w:w="735"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1077"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数量</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产地</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生产厂家</w:t>
            </w:r>
          </w:p>
        </w:tc>
        <w:tc>
          <w:tcPr>
            <w:tcW w:w="816"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单价</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hint="eastAsia" w:ascii="宋体" w:hAnsi="宋体"/>
                <w:snapToGrid w:val="0"/>
                <w:kern w:val="0"/>
                <w:sz w:val="24"/>
                <w:szCs w:val="24"/>
                <w:highlight w:val="none"/>
              </w:rPr>
              <w:t>合</w:t>
            </w:r>
            <w:r>
              <w:rPr>
                <w:rFonts w:ascii="宋体" w:hAnsi="宋体"/>
                <w:snapToGrid w:val="0"/>
                <w:kern w:val="0"/>
                <w:sz w:val="24"/>
                <w:szCs w:val="24"/>
                <w:highlight w:val="none"/>
              </w:rPr>
              <w:t>价</w:t>
            </w:r>
          </w:p>
        </w:tc>
      </w:tr>
      <w:tr>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1</w:t>
            </w:r>
          </w:p>
        </w:tc>
        <w:tc>
          <w:tcPr>
            <w:tcW w:w="118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2</w:t>
            </w:r>
          </w:p>
        </w:tc>
        <w:tc>
          <w:tcPr>
            <w:tcW w:w="118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3</w:t>
            </w:r>
          </w:p>
        </w:tc>
        <w:tc>
          <w:tcPr>
            <w:tcW w:w="118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4</w:t>
            </w:r>
          </w:p>
        </w:tc>
        <w:tc>
          <w:tcPr>
            <w:tcW w:w="118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p>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5</w:t>
            </w:r>
          </w:p>
        </w:tc>
        <w:tc>
          <w:tcPr>
            <w:tcW w:w="118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18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405" w:hRule="atLeast"/>
          <w:jc w:val="center"/>
        </w:trPr>
        <w:tc>
          <w:tcPr>
            <w:tcW w:w="8329"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snapToGrid w:val="0"/>
                <w:kern w:val="0"/>
                <w:sz w:val="24"/>
                <w:szCs w:val="24"/>
                <w:highlight w:val="none"/>
              </w:rPr>
            </w:pPr>
            <w:r>
              <w:rPr>
                <w:rFonts w:ascii="宋体" w:hAnsi="宋体"/>
                <w:snapToGrid w:val="0"/>
                <w:kern w:val="0"/>
                <w:sz w:val="24"/>
                <w:szCs w:val="24"/>
                <w:highlight w:val="none"/>
              </w:rPr>
              <w:t>总计</w:t>
            </w:r>
          </w:p>
        </w:tc>
        <w:tc>
          <w:tcPr>
            <w:tcW w:w="1365" w:type="dxa"/>
            <w:tcBorders>
              <w:top w:val="nil"/>
              <w:left w:val="nil"/>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bl>
    <w:p>
      <w:pPr>
        <w:widowControl/>
        <w:ind w:right="105"/>
        <w:jc w:val="right"/>
        <w:rPr>
          <w:rFonts w:ascii="宋体" w:hAnsi="宋体"/>
          <w:snapToGrid w:val="0"/>
          <w:kern w:val="0"/>
          <w:sz w:val="24"/>
          <w:szCs w:val="24"/>
          <w:highlight w:val="none"/>
        </w:rPr>
      </w:pPr>
    </w:p>
    <w:p>
      <w:pPr>
        <w:spacing w:line="400" w:lineRule="exact"/>
        <w:ind w:firstLine="420" w:firstLineChars="200"/>
        <w:rPr>
          <w:rFonts w:ascii="宋体" w:hAnsi="宋体"/>
          <w:snapToGrid w:val="0"/>
          <w:kern w:val="0"/>
          <w:sz w:val="24"/>
          <w:szCs w:val="24"/>
          <w:highlight w:val="none"/>
        </w:rPr>
      </w:pPr>
      <w:r>
        <w:rPr>
          <w:rFonts w:ascii="宋体" w:hAnsi="宋体"/>
          <w:snapToGrid w:val="0"/>
          <w:kern w:val="0"/>
          <w:sz w:val="21"/>
          <w:szCs w:val="21"/>
          <w:highlight w:val="none"/>
        </w:rPr>
        <w:t>注：投标报价为各分项报价金额之和，投标报价与分项报价的合价不一致的，以投标报价为准；如分项报价中存在缺漏项，则视为缺漏项价格已包含在其他分项报价之中。</w:t>
      </w: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pStyle w:val="2"/>
        <w:numPr>
          <w:ilvl w:val="0"/>
          <w:numId w:val="0"/>
        </w:numPr>
        <w:rPr>
          <w:rFonts w:hint="default"/>
          <w:highlight w:val="none"/>
          <w:lang w:val="en-US" w:eastAsia="zh-CN"/>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四</w:t>
      </w:r>
      <w:r>
        <w:rPr>
          <w:rFonts w:hint="eastAsia" w:ascii="宋体" w:hAnsi="宋体" w:eastAsia="宋体" w:cs="宋体"/>
          <w:b/>
          <w:bCs/>
          <w:sz w:val="28"/>
          <w:szCs w:val="28"/>
          <w:highlight w:val="none"/>
        </w:rPr>
        <w:t>部分</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4"/>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 xml:space="preserve"> 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 xml:space="preserve"> 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文件。关于响应情况的证明材料可在本章节所指的进行说明。</w:t>
      </w:r>
    </w:p>
    <w:p>
      <w:pPr>
        <w:pStyle w:val="7"/>
        <w:keepNext w:val="0"/>
        <w:keepLines w:val="0"/>
        <w:pageBreakBefore w:val="0"/>
        <w:kinsoku/>
        <w:overflowPunct/>
        <w:topLinePunct w:val="0"/>
        <w:bidi w:val="0"/>
        <w:spacing w:line="360" w:lineRule="auto"/>
        <w:ind w:left="0" w:leftChars="0" w:right="0" w:firstLine="360"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6" w:name="_Toc193126887"/>
      <w:bookmarkStart w:id="17" w:name="_Toc193187103"/>
      <w:bookmarkStart w:id="18" w:name="_Toc188808838"/>
      <w:bookmarkStart w:id="19" w:name="_Toc194663924"/>
      <w:r>
        <w:rPr>
          <w:rFonts w:hint="eastAsia" w:ascii="宋体" w:hAnsi="宋体" w:eastAsia="宋体" w:cs="宋体"/>
          <w:bCs/>
          <w:sz w:val="21"/>
          <w:szCs w:val="21"/>
          <w:highlight w:val="none"/>
        </w:rPr>
        <w:t>供应商名称：（印章）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1" w:type="default"/>
          <w:pgSz w:w="11907" w:h="16840"/>
          <w:pgMar w:top="1440" w:right="1588" w:bottom="1440" w:left="1588"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bookmarkEnd w:id="16"/>
    <w:bookmarkEnd w:id="17"/>
    <w:bookmarkEnd w:id="18"/>
    <w:bookmarkEnd w:id="19"/>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0" w:name="_Toc47261690"/>
      <w:bookmarkStart w:id="21" w:name="_Toc188808839"/>
      <w:bookmarkStart w:id="22" w:name="_Toc47418731"/>
      <w:bookmarkStart w:id="23" w:name="_Toc193187104"/>
      <w:bookmarkStart w:id="24" w:name="_Toc49019497"/>
      <w:bookmarkStart w:id="25" w:name="_Toc47418255"/>
      <w:bookmarkStart w:id="26" w:name="_Toc193126888"/>
      <w:bookmarkStart w:id="27" w:name="_Toc47261885"/>
      <w:bookmarkStart w:id="28" w:name="_Toc47262069"/>
      <w:bookmarkStart w:id="29" w:name="_Toc47418938"/>
      <w:bookmarkStart w:id="30" w:name="_Toc194663925"/>
      <w:bookmarkStart w:id="31" w:name="_Toc48995851"/>
      <w:bookmarkStart w:id="32" w:name="_Toc48791235"/>
      <w:bookmarkStart w:id="33" w:name="_Toc49019236"/>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五</w:t>
      </w:r>
      <w:r>
        <w:rPr>
          <w:rFonts w:hint="eastAsia" w:ascii="宋体" w:hAnsi="宋体" w:eastAsia="宋体" w:cs="宋体"/>
          <w:b/>
          <w:bCs/>
          <w:sz w:val="28"/>
          <w:szCs w:val="28"/>
          <w:highlight w:val="none"/>
        </w:rPr>
        <w:t>部分  法定代表人（单位负责人）身份证明</w:t>
      </w:r>
    </w:p>
    <w:p>
      <w:pPr>
        <w:spacing w:line="440" w:lineRule="exact"/>
        <w:rPr>
          <w:highlight w:val="none"/>
        </w:rPr>
      </w:pPr>
    </w:p>
    <w:p>
      <w:pPr>
        <w:spacing w:line="440" w:lineRule="exact"/>
        <w:ind w:firstLine="480" w:firstLineChars="200"/>
        <w:rPr>
          <w:rFonts w:hint="eastAsia" w:ascii="宋体" w:hAnsi="宋体" w:eastAsia="宋体" w:cs="宋体"/>
          <w:sz w:val="24"/>
          <w:highlight w:val="none"/>
        </w:rPr>
      </w:pP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bookmarkStart w:id="34" w:name="_Toc352691662"/>
      <w:bookmarkStart w:id="35" w:name="_Toc27897"/>
      <w:bookmarkStart w:id="36" w:name="_Toc369531698"/>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bookmarkEnd w:id="34"/>
      <w:bookmarkEnd w:id="35"/>
      <w:bookmarkEnd w:id="36"/>
      <w:r>
        <w:rPr>
          <w:rFonts w:hint="eastAsia" w:ascii="宋体" w:hAnsi="宋体" w:eastAsia="宋体" w:cs="宋体"/>
          <w:sz w:val="24"/>
          <w:highlight w:val="none"/>
        </w:rPr>
        <w:t>龄</w:t>
      </w:r>
      <w:bookmarkStart w:id="37" w:name="_Toc384308377"/>
      <w:bookmarkStart w:id="38" w:name="_Toc152045789"/>
      <w:bookmarkStart w:id="39" w:name="_Toc15573"/>
      <w:bookmarkStart w:id="40" w:name="_Toc247514248"/>
      <w:bookmarkStart w:id="41" w:name="_Toc361508754"/>
      <w:bookmarkStart w:id="42" w:name="_Toc247527829"/>
      <w:bookmarkStart w:id="43" w:name="_Toc152042578"/>
      <w:bookmarkStart w:id="44" w:name="_Toc369531699"/>
      <w:bookmarkStart w:id="45" w:name="_Toc300835211"/>
      <w:bookmarkStart w:id="46" w:name="_Toc352691663"/>
      <w:bookmarkStart w:id="47" w:name="_Toc144974858"/>
      <w:r>
        <w:rPr>
          <w:rFonts w:hint="eastAsia" w:ascii="宋体" w:hAnsi="宋体" w:eastAsia="宋体" w:cs="宋体"/>
          <w:sz w:val="24"/>
          <w:highlight w:val="none"/>
        </w:rPr>
        <w:t>：</w:t>
      </w:r>
      <w:bookmarkEnd w:id="37"/>
      <w:bookmarkEnd w:id="38"/>
      <w:bookmarkEnd w:id="39"/>
      <w:bookmarkEnd w:id="40"/>
      <w:bookmarkEnd w:id="41"/>
      <w:bookmarkEnd w:id="42"/>
      <w:bookmarkEnd w:id="43"/>
      <w:bookmarkEnd w:id="44"/>
      <w:bookmarkEnd w:id="45"/>
      <w:bookmarkEnd w:id="46"/>
      <w:bookmarkEnd w:id="47"/>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（投标人名称）</w:t>
      </w:r>
      <w:r>
        <w:rPr>
          <w:rFonts w:hint="eastAsia" w:ascii="宋体" w:hAnsi="宋体" w:eastAsia="宋体" w:cs="宋体"/>
          <w:sz w:val="24"/>
          <w:highlight w:val="none"/>
        </w:rPr>
        <w:t>的法定代表人（单位负责人）。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440" w:lineRule="exact"/>
        <w:rPr>
          <w:rFonts w:hint="eastAsia" w:ascii="宋体" w:hAnsi="宋体" w:eastAsia="宋体" w:cs="宋体"/>
          <w:sz w:val="24"/>
          <w:highlight w:val="none"/>
        </w:rPr>
      </w:pPr>
    </w:p>
    <w:p>
      <w:pPr>
        <w:pStyle w:val="11"/>
        <w:rPr>
          <w:rFonts w:hint="eastAsia"/>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附：法定代表人（单位负责人）身份证复印件。</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注：本身份证明需由投标人加盖单位公章。</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供应商名称：（公章）</w:t>
      </w: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法定代表人或其法人授权委托人：（签字或盖章）</w:t>
      </w:r>
    </w:p>
    <w:p>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六</w:t>
      </w:r>
      <w:r>
        <w:rPr>
          <w:rFonts w:hint="eastAsia" w:ascii="宋体" w:hAnsi="宋体" w:eastAsia="宋体" w:cs="宋体"/>
          <w:b/>
          <w:bCs/>
          <w:sz w:val="28"/>
          <w:szCs w:val="28"/>
          <w:highlight w:val="none"/>
        </w:rPr>
        <w:t>部分  法定代表人授权书</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hd w:val="clear" w:color="auto" w:fill="FFFFFF"/>
        <w:spacing w:line="560" w:lineRule="exact"/>
        <w:rPr>
          <w:rStyle w:val="23"/>
          <w:rFonts w:hint="eastAsia" w:ascii="宋体" w:hAnsi="宋体" w:eastAsia="宋体" w:cs="宋体"/>
          <w:color w:val="000000"/>
          <w:kern w:val="0"/>
          <w:sz w:val="24"/>
          <w:szCs w:val="24"/>
          <w:highlight w:val="none"/>
        </w:rPr>
      </w:pPr>
      <w:bookmarkStart w:id="48" w:name="_Toc48791236"/>
      <w:bookmarkStart w:id="49" w:name="_Toc47261691"/>
      <w:bookmarkStart w:id="50" w:name="_Toc48995852"/>
      <w:bookmarkStart w:id="51" w:name="_Toc49019237"/>
      <w:bookmarkStart w:id="52" w:name="_Toc47418732"/>
      <w:bookmarkStart w:id="53" w:name="_Toc47261886"/>
      <w:bookmarkStart w:id="54" w:name="_Toc47262070"/>
      <w:bookmarkStart w:id="55" w:name="_Toc47418256"/>
      <w:bookmarkStart w:id="56" w:name="_Toc47418939"/>
      <w:bookmarkStart w:id="57" w:name="_Toc49019498"/>
      <w:r>
        <w:rPr>
          <w:rStyle w:val="23"/>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注册于</w:t>
      </w:r>
      <w:r>
        <w:rPr>
          <w:rStyle w:val="23"/>
          <w:rFonts w:hint="eastAsia" w:ascii="宋体" w:hAnsi="宋体" w:eastAsia="宋体" w:cs="宋体"/>
          <w:color w:val="000000"/>
          <w:kern w:val="0"/>
          <w:sz w:val="24"/>
          <w:szCs w:val="24"/>
          <w:highlight w:val="none"/>
          <w:u w:val="single"/>
        </w:rPr>
        <w:t>（工商行政管理局名称）</w:t>
      </w:r>
      <w:r>
        <w:rPr>
          <w:rStyle w:val="23"/>
          <w:rFonts w:hint="eastAsia" w:ascii="宋体" w:hAnsi="宋体" w:eastAsia="宋体" w:cs="宋体"/>
          <w:color w:val="000000"/>
          <w:kern w:val="0"/>
          <w:sz w:val="24"/>
          <w:szCs w:val="24"/>
          <w:highlight w:val="none"/>
        </w:rPr>
        <w:t>之</w:t>
      </w:r>
      <w:r>
        <w:rPr>
          <w:rStyle w:val="23"/>
          <w:rFonts w:hint="eastAsia" w:ascii="宋体" w:hAnsi="宋体" w:eastAsia="宋体" w:cs="宋体"/>
          <w:color w:val="000000"/>
          <w:kern w:val="0"/>
          <w:sz w:val="24"/>
          <w:szCs w:val="24"/>
          <w:highlight w:val="none"/>
          <w:u w:val="single"/>
        </w:rPr>
        <w:t>（投标单位全称）</w:t>
      </w:r>
      <w:r>
        <w:rPr>
          <w:rStyle w:val="23"/>
          <w:rFonts w:hint="eastAsia" w:ascii="宋体" w:hAnsi="宋体" w:eastAsia="宋体" w:cs="宋体"/>
          <w:color w:val="000000"/>
          <w:kern w:val="0"/>
          <w:sz w:val="24"/>
          <w:szCs w:val="24"/>
          <w:highlight w:val="none"/>
        </w:rPr>
        <w:t>法人代表</w:t>
      </w:r>
      <w:r>
        <w:rPr>
          <w:rStyle w:val="23"/>
          <w:rFonts w:hint="eastAsia" w:ascii="宋体" w:hAnsi="宋体" w:eastAsia="宋体" w:cs="宋体"/>
          <w:color w:val="000000"/>
          <w:kern w:val="0"/>
          <w:sz w:val="24"/>
          <w:szCs w:val="24"/>
          <w:highlight w:val="none"/>
          <w:u w:val="single"/>
        </w:rPr>
        <w:t>（姓名、职务）</w:t>
      </w:r>
      <w:r>
        <w:rPr>
          <w:rStyle w:val="23"/>
          <w:rFonts w:hint="eastAsia" w:ascii="宋体" w:hAnsi="宋体" w:eastAsia="宋体" w:cs="宋体"/>
          <w:color w:val="000000"/>
          <w:kern w:val="0"/>
          <w:sz w:val="24"/>
          <w:szCs w:val="24"/>
          <w:highlight w:val="none"/>
        </w:rPr>
        <w:t>授权</w:t>
      </w:r>
      <w:r>
        <w:rPr>
          <w:rStyle w:val="23"/>
          <w:rFonts w:hint="eastAsia" w:ascii="宋体" w:hAnsi="宋体" w:eastAsia="宋体" w:cs="宋体"/>
          <w:color w:val="000000"/>
          <w:kern w:val="0"/>
          <w:sz w:val="24"/>
          <w:szCs w:val="24"/>
          <w:highlight w:val="none"/>
          <w:u w:val="single"/>
        </w:rPr>
        <w:t>（被授权人姓名、职务）</w:t>
      </w:r>
      <w:r>
        <w:rPr>
          <w:rStyle w:val="23"/>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法定代表人/授权代表身份证复印件</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5"/>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5"/>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5"/>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5"/>
              <w:spacing w:line="560" w:lineRule="exact"/>
              <w:ind w:firstLine="480"/>
              <w:rPr>
                <w:rStyle w:val="23"/>
                <w:rFonts w:hint="eastAsia" w:ascii="宋体" w:hAnsi="宋体" w:eastAsia="宋体" w:cs="宋体"/>
                <w:sz w:val="22"/>
                <w:szCs w:val="22"/>
                <w:highlight w:val="none"/>
                <w:shd w:val="pct10" w:color="auto" w:fill="FFFFFF"/>
              </w:rPr>
            </w:pPr>
            <w:r>
              <w:rPr>
                <w:rStyle w:val="23"/>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3"/>
          <w:rFonts w:hint="eastAsia" w:ascii="宋体" w:hAnsi="宋体" w:eastAsia="宋体" w:cs="宋体"/>
          <w:color w:val="000000"/>
          <w:kern w:val="0"/>
          <w:sz w:val="24"/>
          <w:szCs w:val="24"/>
          <w:highlight w:val="none"/>
        </w:rPr>
      </w:pPr>
      <w:r>
        <w:rPr>
          <w:rStyle w:val="23"/>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rPr>
        <w:t>年  月  日</w:t>
      </w:r>
    </w:p>
    <w:bookmarkEnd w:id="12"/>
    <w:bookmarkEnd w:id="13"/>
    <w:bookmarkEnd w:id="14"/>
    <w:bookmarkEnd w:id="15"/>
    <w:bookmarkEnd w:id="48"/>
    <w:bookmarkEnd w:id="49"/>
    <w:bookmarkEnd w:id="50"/>
    <w:bookmarkEnd w:id="51"/>
    <w:bookmarkEnd w:id="52"/>
    <w:bookmarkEnd w:id="53"/>
    <w:bookmarkEnd w:id="54"/>
    <w:bookmarkEnd w:id="55"/>
    <w:bookmarkEnd w:id="56"/>
    <w:bookmarkEnd w:id="57"/>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 xml:space="preserve"> 投标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58" w:name="_Toc476761669"/>
      <w:bookmarkStart w:id="59" w:name="_Toc26141"/>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rPr>
          <w:rFonts w:hint="eastAsia"/>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7"/>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bookmarkEnd w:id="58"/>
    <w:bookmarkEnd w:id="59"/>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供应商应按照</w:t>
      </w:r>
      <w:r>
        <w:rPr>
          <w:rFonts w:hint="eastAsia" w:ascii="宋体" w:hAnsi="宋体" w:eastAsia="宋体" w:cs="宋体"/>
          <w:bCs/>
          <w:sz w:val="21"/>
          <w:szCs w:val="21"/>
          <w:highlight w:val="none"/>
          <w:lang w:eastAsia="zh-CN"/>
        </w:rPr>
        <w:t>招标文</w:t>
      </w:r>
      <w:r>
        <w:rPr>
          <w:rFonts w:hint="eastAsia" w:ascii="宋体" w:hAnsi="宋体" w:eastAsia="宋体" w:cs="宋体"/>
          <w:bCs/>
          <w:sz w:val="21"/>
          <w:szCs w:val="21"/>
          <w:highlight w:val="none"/>
        </w:rPr>
        <w:t>件要求，根据采购内容及技术要求内容作出全面响应。编制和提交的内容应包括但不限于以下各项。对必须满足的内容，必须完全满足。对响应有差异的，则说明差异的内容。</w:t>
      </w:r>
    </w:p>
    <w:p>
      <w:pPr>
        <w:pStyle w:val="2"/>
        <w:numPr>
          <w:ilvl w:val="0"/>
          <w:numId w:val="4"/>
        </w:numPr>
        <w:ind w:left="0" w:leftChars="0" w:firstLine="420" w:firstLineChars="200"/>
        <w:rPr>
          <w:rFonts w:hint="eastAsia" w:ascii="宋体" w:hAnsi="宋体" w:eastAsia="宋体" w:cs="宋体"/>
          <w:b w:val="0"/>
          <w:bCs/>
          <w:snapToGrid w:val="0"/>
          <w:kern w:val="0"/>
          <w:sz w:val="21"/>
          <w:szCs w:val="21"/>
          <w:highlight w:val="none"/>
          <w:lang w:eastAsia="zh-CN"/>
        </w:rPr>
      </w:pPr>
      <w:r>
        <w:rPr>
          <w:rFonts w:hint="eastAsia" w:ascii="宋体" w:hAnsi="宋体" w:eastAsia="宋体" w:cs="宋体"/>
          <w:b w:val="0"/>
          <w:bCs/>
          <w:snapToGrid w:val="0"/>
          <w:kern w:val="0"/>
          <w:sz w:val="21"/>
          <w:szCs w:val="21"/>
          <w:highlight w:val="none"/>
        </w:rPr>
        <w:t>技术</w:t>
      </w:r>
      <w:r>
        <w:rPr>
          <w:rFonts w:hint="eastAsia" w:ascii="宋体" w:hAnsi="宋体" w:eastAsia="宋体" w:cs="宋体"/>
          <w:b w:val="0"/>
          <w:bCs/>
          <w:snapToGrid w:val="0"/>
          <w:kern w:val="0"/>
          <w:sz w:val="21"/>
          <w:szCs w:val="21"/>
          <w:highlight w:val="none"/>
          <w:lang w:eastAsia="zh-CN"/>
        </w:rPr>
        <w:t>方案</w:t>
      </w:r>
    </w:p>
    <w:p>
      <w:pPr>
        <w:pStyle w:val="2"/>
        <w:numPr>
          <w:ilvl w:val="0"/>
          <w:numId w:val="4"/>
        </w:numPr>
        <w:ind w:left="0" w:leftChars="0" w:firstLine="420" w:firstLineChars="200"/>
        <w:rPr>
          <w:rFonts w:hint="eastAsia" w:ascii="宋体" w:hAnsi="宋体" w:eastAsia="宋体" w:cs="宋体"/>
          <w:b w:val="0"/>
          <w:bCs/>
          <w:snapToGrid w:val="0"/>
          <w:kern w:val="0"/>
          <w:sz w:val="21"/>
          <w:szCs w:val="21"/>
          <w:highlight w:val="none"/>
          <w:lang w:eastAsia="zh-CN"/>
        </w:rPr>
      </w:pPr>
      <w:r>
        <w:rPr>
          <w:rFonts w:hint="eastAsia" w:ascii="宋体" w:hAnsi="宋体" w:eastAsia="宋体" w:cs="宋体"/>
          <w:b w:val="0"/>
          <w:bCs/>
          <w:snapToGrid w:val="0"/>
          <w:kern w:val="0"/>
          <w:sz w:val="21"/>
          <w:szCs w:val="21"/>
          <w:highlight w:val="none"/>
          <w:lang w:eastAsia="zh-CN"/>
        </w:rPr>
        <w:t>业绩</w:t>
      </w:r>
    </w:p>
    <w:p>
      <w:pPr>
        <w:pStyle w:val="2"/>
        <w:ind w:left="0" w:leftChars="0" w:firstLine="420" w:firstLineChars="200"/>
        <w:rPr>
          <w:rFonts w:hint="eastAsia" w:ascii="宋体" w:hAnsi="宋体" w:eastAsia="宋体" w:cs="宋体"/>
          <w:b w:val="0"/>
          <w:bCs/>
          <w:snapToGrid w:val="0"/>
          <w:kern w:val="0"/>
          <w:sz w:val="21"/>
          <w:szCs w:val="21"/>
          <w:highlight w:val="none"/>
          <w:lang w:eastAsia="zh-CN"/>
        </w:rPr>
      </w:pPr>
      <w:r>
        <w:rPr>
          <w:rFonts w:hint="eastAsia" w:ascii="宋体" w:hAnsi="宋体" w:eastAsia="宋体" w:cs="宋体"/>
          <w:b w:val="0"/>
          <w:bCs/>
          <w:snapToGrid w:val="0"/>
          <w:kern w:val="0"/>
          <w:sz w:val="21"/>
          <w:szCs w:val="21"/>
          <w:highlight w:val="none"/>
          <w:lang w:val="en-US" w:eastAsia="zh-CN"/>
        </w:rPr>
        <w:t>4、配送及</w:t>
      </w:r>
      <w:r>
        <w:rPr>
          <w:rFonts w:hint="eastAsia" w:ascii="宋体" w:hAnsi="宋体" w:eastAsia="宋体" w:cs="宋体"/>
          <w:b w:val="0"/>
          <w:bCs/>
          <w:snapToGrid w:val="0"/>
          <w:kern w:val="0"/>
          <w:sz w:val="21"/>
          <w:szCs w:val="21"/>
          <w:highlight w:val="none"/>
        </w:rPr>
        <w:t>售后</w:t>
      </w:r>
      <w:r>
        <w:rPr>
          <w:rFonts w:hint="eastAsia" w:ascii="宋体" w:hAnsi="宋体" w:eastAsia="宋体" w:cs="宋体"/>
          <w:b w:val="0"/>
          <w:bCs/>
          <w:snapToGrid w:val="0"/>
          <w:kern w:val="0"/>
          <w:sz w:val="21"/>
          <w:szCs w:val="21"/>
          <w:highlight w:val="none"/>
          <w:lang w:eastAsia="zh-CN"/>
        </w:rPr>
        <w:t>服务</w:t>
      </w:r>
    </w:p>
    <w:p>
      <w:pPr>
        <w:pStyle w:val="2"/>
        <w:ind w:left="0" w:leftChars="0" w:firstLine="420" w:firstLineChars="200"/>
        <w:rPr>
          <w:rFonts w:hint="eastAsia" w:ascii="宋体" w:hAnsi="宋体" w:eastAsia="宋体" w:cs="宋体"/>
          <w:b w:val="0"/>
          <w:bCs/>
          <w:snapToGrid w:val="0"/>
          <w:kern w:val="0"/>
          <w:sz w:val="21"/>
          <w:szCs w:val="21"/>
          <w:highlight w:val="none"/>
        </w:rPr>
      </w:pPr>
      <w:r>
        <w:rPr>
          <w:rFonts w:hint="eastAsia" w:ascii="宋体" w:hAnsi="宋体" w:eastAsia="宋体" w:cs="宋体"/>
          <w:b w:val="0"/>
          <w:bCs/>
          <w:snapToGrid w:val="0"/>
          <w:kern w:val="0"/>
          <w:sz w:val="21"/>
          <w:szCs w:val="21"/>
          <w:highlight w:val="none"/>
          <w:lang w:val="en-US" w:eastAsia="zh-CN"/>
        </w:rPr>
        <w:t>5、</w:t>
      </w:r>
      <w:r>
        <w:rPr>
          <w:rFonts w:hint="eastAsia" w:ascii="宋体" w:hAnsi="宋体" w:eastAsia="宋体" w:cs="宋体"/>
          <w:b w:val="0"/>
          <w:bCs/>
          <w:snapToGrid w:val="0"/>
          <w:kern w:val="0"/>
          <w:sz w:val="21"/>
          <w:szCs w:val="21"/>
          <w:highlight w:val="none"/>
        </w:rPr>
        <w:t>其他资料</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3"/>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3"/>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3"/>
          <w:rFonts w:hint="eastAsia" w:ascii="宋体" w:hAnsi="宋体" w:eastAsia="宋体" w:cs="宋体"/>
          <w:b/>
          <w:color w:val="000000"/>
          <w:kern w:val="0"/>
          <w:sz w:val="24"/>
          <w:szCs w:val="24"/>
          <w:highlight w:val="none"/>
        </w:rPr>
        <w:sectPr>
          <w:footerReference r:id="rId12" w:type="default"/>
          <w:pgSz w:w="11906" w:h="16838"/>
          <w:pgMar w:top="1361" w:right="1134" w:bottom="1531" w:left="1134" w:header="851" w:footer="992" w:gutter="0"/>
          <w:pgNumType w:fmt="decimal"/>
          <w:cols w:space="720" w:num="1"/>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eastAsia="宋体" w:cs="宋体"/>
          <w:b/>
          <w:sz w:val="28"/>
          <w:szCs w:val="28"/>
          <w:highlight w:val="none"/>
          <w:lang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3"/>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Vy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gCSSNFDx&#10;+29f77//vP/xBcEeCLTVdgxxCw2RbneldtA2/b6FTc97V5nG/wMjBH7Auj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1mxXIt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TaYj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gFNpiN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UWq3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DsUWq3eAgAAJgYAAA4AAAAAAAAAAQAgAAAAHwEAAGRycy9lMm9Eb2MueG1sUEsF&#10;BgAAAAAGAAYAWQEAAG8G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0rZAf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0rZAfeAgAAJgYAAA4AAAAAAAAAAQAgAAAAHwEAAGRycy9lMm9Eb2MueG1sUEsF&#10;BgAAAAAGAAYAWQEAAG8G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3"/>
        <w:bCs/>
        <w:iC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r>
      <w:rPr>
        <w:rStyle w:val="23"/>
        <w:b/>
        <w: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C51DB"/>
    <w:multiLevelType w:val="singleLevel"/>
    <w:tmpl w:val="955C51DB"/>
    <w:lvl w:ilvl="0" w:tentative="0">
      <w:start w:val="3"/>
      <w:numFmt w:val="chineseCounting"/>
      <w:suff w:val="space"/>
      <w:lvlText w:val="第%1部分"/>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3">
    <w:nsid w:val="56697A6E"/>
    <w:multiLevelType w:val="singleLevel"/>
    <w:tmpl w:val="56697A6E"/>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GEyYzE1YmU0Y2UzNmI1NjhkNWY5OGJiZGMwNGIifQ=="/>
  </w:docVars>
  <w:rsids>
    <w:rsidRoot w:val="00000000"/>
    <w:rsid w:val="001E2726"/>
    <w:rsid w:val="01AA7D1B"/>
    <w:rsid w:val="086874D9"/>
    <w:rsid w:val="13FD3CDB"/>
    <w:rsid w:val="17D21ABA"/>
    <w:rsid w:val="1A5F3E84"/>
    <w:rsid w:val="1AF02C00"/>
    <w:rsid w:val="20A212FB"/>
    <w:rsid w:val="20A2718B"/>
    <w:rsid w:val="2D6476F5"/>
    <w:rsid w:val="370106A7"/>
    <w:rsid w:val="3A9747E2"/>
    <w:rsid w:val="4CFE72EA"/>
    <w:rsid w:val="54F00716"/>
    <w:rsid w:val="5E1F7D9F"/>
    <w:rsid w:val="65D20A5A"/>
    <w:rsid w:val="6906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1"/>
    <w:qFormat/>
    <w:uiPriority w:val="1"/>
    <w:pPr>
      <w:ind w:left="801" w:hanging="402"/>
      <w:jc w:val="center"/>
      <w:outlineLvl w:val="1"/>
    </w:pPr>
    <w:rPr>
      <w:rFonts w:ascii="Microsoft JhengHei" w:hAnsi="Microsoft JhengHei" w:cs="Microsoft JhengHei"/>
      <w:b/>
      <w:bCs/>
      <w:sz w:val="32"/>
      <w:szCs w:val="32"/>
    </w:rPr>
  </w:style>
  <w:style w:type="character" w:default="1" w:styleId="15">
    <w:name w:val="Default Paragraph Font"/>
    <w:qFormat/>
    <w:uiPriority w:val="1"/>
  </w:style>
  <w:style w:type="table" w:default="1" w:styleId="14">
    <w:name w:val="Normal Table"/>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annotation text"/>
    <w:basedOn w:val="1"/>
    <w:link w:val="21"/>
    <w:qFormat/>
    <w:uiPriority w:val="0"/>
    <w:pPr>
      <w:jc w:val="left"/>
    </w:pPr>
  </w:style>
  <w:style w:type="paragraph" w:styleId="7">
    <w:name w:val="Body Text"/>
    <w:basedOn w:val="1"/>
    <w:next w:val="1"/>
    <w:qFormat/>
    <w:uiPriority w:val="99"/>
    <w:pPr>
      <w:tabs>
        <w:tab w:val="left" w:pos="7290"/>
      </w:tabs>
    </w:pPr>
    <w:rPr>
      <w:b/>
      <w:u w:val="single"/>
    </w:rPr>
  </w:style>
  <w:style w:type="paragraph" w:styleId="8">
    <w:name w:val="Balloon Text"/>
    <w:basedOn w:val="1"/>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annotation subject"/>
    <w:basedOn w:val="6"/>
    <w:next w:val="6"/>
    <w:link w:val="22"/>
    <w:qFormat/>
    <w:uiPriority w:val="0"/>
    <w:rPr>
      <w:b/>
      <w:bCs/>
    </w:rPr>
  </w:style>
  <w:style w:type="paragraph" w:styleId="13">
    <w:name w:val="Body Text First Indent"/>
    <w:basedOn w:val="7"/>
    <w:uiPriority w:val="0"/>
    <w:pPr>
      <w:ind w:firstLine="420" w:firstLineChars="100"/>
    </w:pPr>
  </w:style>
  <w:style w:type="character" w:styleId="16">
    <w:name w:val="page number"/>
    <w:basedOn w:val="15"/>
    <w:qFormat/>
    <w:uiPriority w:val="0"/>
    <w:rPr>
      <w:rFonts w:ascii="Times New Roman" w:hAnsi="Times New Roman" w:eastAsia="宋体" w:cs="Times New Roman"/>
    </w:rPr>
  </w:style>
  <w:style w:type="character" w:styleId="17">
    <w:name w:val="annotation reference"/>
    <w:qFormat/>
    <w:uiPriority w:val="0"/>
    <w:rPr>
      <w:sz w:val="21"/>
      <w:szCs w:val="21"/>
    </w:rPr>
  </w:style>
  <w:style w:type="character" w:customStyle="1" w:styleId="18">
    <w:name w:val="页眉 Char"/>
    <w:link w:val="10"/>
    <w:qFormat/>
    <w:uiPriority w:val="0"/>
    <w:rPr>
      <w:kern w:val="2"/>
      <w:sz w:val="18"/>
      <w:szCs w:val="18"/>
    </w:rPr>
  </w:style>
  <w:style w:type="character" w:customStyle="1" w:styleId="19">
    <w:name w:val="页脚 Char"/>
    <w:link w:val="9"/>
    <w:qFormat/>
    <w:uiPriority w:val="0"/>
    <w:rPr>
      <w:kern w:val="2"/>
      <w:sz w:val="18"/>
      <w:szCs w:val="18"/>
    </w:rPr>
  </w:style>
  <w:style w:type="paragraph" w:customStyle="1" w:styleId="2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1">
    <w:name w:val="批注文字 Char"/>
    <w:link w:val="6"/>
    <w:qFormat/>
    <w:uiPriority w:val="0"/>
    <w:rPr>
      <w:kern w:val="2"/>
      <w:sz w:val="21"/>
      <w:szCs w:val="24"/>
    </w:rPr>
  </w:style>
  <w:style w:type="character" w:customStyle="1" w:styleId="22">
    <w:name w:val="批注主题 Char"/>
    <w:link w:val="12"/>
    <w:qFormat/>
    <w:uiPriority w:val="0"/>
    <w:rPr>
      <w:b/>
      <w:bCs/>
      <w:kern w:val="2"/>
      <w:sz w:val="21"/>
      <w:szCs w:val="24"/>
    </w:rPr>
  </w:style>
  <w:style w:type="character" w:customStyle="1" w:styleId="23">
    <w:name w:val="NormalCharacter"/>
    <w:qFormat/>
    <w:uiPriority w:val="0"/>
  </w:style>
  <w:style w:type="character" w:customStyle="1" w:styleId="24">
    <w:name w:val="标题 1 Char"/>
    <w:link w:val="4"/>
    <w:qFormat/>
    <w:uiPriority w:val="0"/>
    <w:rPr>
      <w:rFonts w:ascii="Times New Roman" w:hAnsi="Times New Roman" w:eastAsia="楷体_GB2312"/>
      <w:b/>
      <w:kern w:val="44"/>
      <w:sz w:val="44"/>
      <w:szCs w:val="20"/>
    </w:rPr>
  </w:style>
  <w:style w:type="paragraph" w:customStyle="1" w:styleId="25">
    <w:name w:val="PlainText"/>
    <w:basedOn w:val="1"/>
    <w:qFormat/>
    <w:uiPriority w:val="0"/>
    <w:pPr>
      <w:spacing w:line="324" w:lineRule="auto"/>
    </w:pPr>
    <w:rPr>
      <w:rFonts w:ascii="宋体" w:hAnsi="Courier New"/>
      <w:szCs w:val="20"/>
    </w:rPr>
  </w:style>
  <w:style w:type="character" w:customStyle="1" w:styleId="26">
    <w:name w:val="font01"/>
    <w:basedOn w:val="15"/>
    <w:uiPriority w:val="0"/>
    <w:rPr>
      <w:rFonts w:hint="eastAsia" w:ascii="宋体" w:hAnsi="宋体" w:eastAsia="宋体" w:cs="宋体"/>
      <w:color w:val="000000"/>
      <w:sz w:val="20"/>
      <w:szCs w:val="20"/>
      <w:u w:val="none"/>
    </w:rPr>
  </w:style>
  <w:style w:type="character" w:customStyle="1" w:styleId="27">
    <w:name w:val="font81"/>
    <w:basedOn w:val="15"/>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8.png"/><Relationship Id="rId41" Type="http://schemas.openxmlformats.org/officeDocument/2006/relationships/image" Target="media/image27.png"/><Relationship Id="rId40" Type="http://schemas.openxmlformats.org/officeDocument/2006/relationships/image" Target="media/image26.png"/><Relationship Id="rId4" Type="http://schemas.openxmlformats.org/officeDocument/2006/relationships/header" Target="header2.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28</Pages>
  <Words>10360</Words>
  <Characters>10580</Characters>
  <Paragraphs>503</Paragraphs>
  <TotalTime>25</TotalTime>
  <ScaleCrop>false</ScaleCrop>
  <LinksUpToDate>false</LinksUpToDate>
  <CharactersWithSpaces>11468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2022-08-15T09:21:00Z</cp:lastPrinted>
  <dcterms:modified xsi:type="dcterms:W3CDTF">2022-08-23T03:03:13Z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60DAC08F1D3C4D2B91EBB693BD65AE8D</vt:lpwstr>
  </property>
</Properties>
</file>