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yellow"/>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202305-047</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bookmarkStart w:id="63" w:name="_GoBack"/>
      <w:bookmarkEnd w:id="63"/>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秦都院区1号住院楼及西安分院分体式空调采购项目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竞争性磋商</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五</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本着“公开、公正、公平”原则，陕西中医药大学第二附属医院就秦都院区1号住院楼及西安分院分体式空调采购项目进行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Style w:val="26"/>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秦都院区1号住院楼及西安分院分体式空调采购项目</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招标内容：详见招标文件</w:t>
      </w:r>
      <w:r>
        <w:rPr>
          <w:rStyle w:val="26"/>
          <w:rFonts w:hint="eastAsia" w:ascii="宋体" w:hAnsi="宋体" w:cs="宋体"/>
          <w:sz w:val="24"/>
          <w:szCs w:val="24"/>
          <w:highlight w:val="none"/>
          <w:lang w:eastAsia="zh-CN"/>
        </w:rPr>
        <w:t>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lang w:eastAsia="zh-CN"/>
        </w:rPr>
      </w:pP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1</w:t>
      </w:r>
      <w:r>
        <w:rPr>
          <w:rStyle w:val="26"/>
          <w:rFonts w:hint="eastAsia" w:ascii="宋体" w:hAnsi="宋体" w:eastAsia="宋体" w:cs="宋体"/>
          <w:sz w:val="24"/>
          <w:szCs w:val="24"/>
          <w:highlight w:val="none"/>
        </w:rPr>
        <w:t>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default" w:ascii="宋体" w:hAnsi="宋体" w:eastAsia="宋体" w:cs="宋体"/>
          <w:sz w:val="24"/>
          <w:szCs w:val="24"/>
          <w:highlight w:val="none"/>
          <w:lang w:val="en-US" w:eastAsia="zh-CN"/>
        </w:rPr>
      </w:pPr>
      <w:r>
        <w:rPr>
          <w:rStyle w:val="26"/>
          <w:rFonts w:hint="eastAsia" w:ascii="宋体" w:hAnsi="宋体" w:cs="宋体"/>
          <w:sz w:val="24"/>
          <w:szCs w:val="24"/>
          <w:highlight w:val="none"/>
          <w:lang w:val="en-US" w:eastAsia="zh-CN"/>
        </w:rPr>
        <w:t>4、项目预算：23.19万元</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 xml:space="preserve"> 投标单位</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3"/>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3"/>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概不退还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p>
    <w:p>
      <w:pPr>
        <w:pStyle w:val="14"/>
        <w:ind w:left="0" w:leftChars="0" w:firstLine="0" w:firstLineChars="0"/>
        <w:rPr>
          <w:rFonts w:hint="default"/>
          <w:lang w:val="en-US" w:eastAsia="zh-CN"/>
        </w:rPr>
      </w:pPr>
    </w:p>
    <w:p>
      <w:pPr>
        <w:pStyle w:val="14"/>
        <w:ind w:left="0" w:leftChars="0" w:firstLine="0" w:firstLineChars="0"/>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w:t>
      </w:r>
      <w:r>
        <w:rPr>
          <w:rStyle w:val="26"/>
          <w:rFonts w:hint="eastAsia" w:ascii="宋体" w:hAnsi="宋体" w:cs="宋体"/>
          <w:bCs/>
          <w:sz w:val="24"/>
          <w:szCs w:val="21"/>
          <w:highlight w:val="none"/>
          <w:lang w:eastAsia="zh-CN"/>
        </w:rPr>
        <w:t>或服务</w:t>
      </w:r>
      <w:r>
        <w:rPr>
          <w:rStyle w:val="26"/>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ascii="宋体" w:hAnsi="宋体" w:eastAsia="宋体" w:cs="宋体"/>
          <w:b/>
          <w:sz w:val="24"/>
          <w:szCs w:val="24"/>
        </w:rPr>
      </w:pPr>
      <w:bookmarkStart w:id="0" w:name="_Toc616"/>
      <w:bookmarkStart w:id="1" w:name="_Toc13199"/>
      <w:bookmarkStart w:id="2" w:name="_Toc13759"/>
      <w:r>
        <w:rPr>
          <w:rFonts w:hint="eastAsia" w:ascii="宋体" w:hAnsi="宋体" w:eastAsia="宋体" w:cs="宋体"/>
          <w:b/>
          <w:sz w:val="24"/>
          <w:szCs w:val="24"/>
          <w:lang w:eastAsia="zh-CN"/>
        </w:rPr>
        <w:t>一</w:t>
      </w:r>
      <w:r>
        <w:rPr>
          <w:rFonts w:hint="eastAsia" w:ascii="宋体" w:hAnsi="宋体" w:eastAsia="宋体" w:cs="宋体"/>
          <w:b/>
          <w:sz w:val="24"/>
          <w:szCs w:val="24"/>
        </w:rPr>
        <w:t>、</w:t>
      </w:r>
      <w:r>
        <w:rPr>
          <w:rFonts w:hint="eastAsia" w:ascii="宋体" w:hAnsi="宋体" w:eastAsia="宋体" w:cs="宋体"/>
          <w:b/>
          <w:color w:val="auto"/>
          <w:sz w:val="24"/>
          <w:szCs w:val="24"/>
        </w:rPr>
        <w:t>项目采购明细表</w:t>
      </w:r>
      <w:bookmarkEnd w:id="0"/>
      <w:bookmarkEnd w:id="1"/>
      <w:bookmarkEnd w:id="2"/>
    </w:p>
    <w:tbl>
      <w:tblPr>
        <w:tblStyle w:val="15"/>
        <w:tblW w:w="8729" w:type="dxa"/>
        <w:jc w:val="center"/>
        <w:tblLayout w:type="autofit"/>
        <w:tblCellMar>
          <w:top w:w="0" w:type="dxa"/>
          <w:left w:w="108" w:type="dxa"/>
          <w:bottom w:w="0" w:type="dxa"/>
          <w:right w:w="108" w:type="dxa"/>
        </w:tblCellMar>
      </w:tblPr>
      <w:tblGrid>
        <w:gridCol w:w="752"/>
        <w:gridCol w:w="2593"/>
        <w:gridCol w:w="1643"/>
        <w:gridCol w:w="1247"/>
        <w:gridCol w:w="1247"/>
        <w:gridCol w:w="1247"/>
      </w:tblGrid>
      <w:tr>
        <w:tblPrEx>
          <w:tblCellMar>
            <w:top w:w="0" w:type="dxa"/>
            <w:left w:w="108" w:type="dxa"/>
            <w:bottom w:w="0" w:type="dxa"/>
            <w:right w:w="108" w:type="dxa"/>
          </w:tblCellMar>
        </w:tblPrEx>
        <w:trPr>
          <w:trHeight w:val="81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类型</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r>
      <w:tr>
        <w:tblPrEx>
          <w:tblCellMar>
            <w:top w:w="0" w:type="dxa"/>
            <w:left w:w="108" w:type="dxa"/>
            <w:bottom w:w="0" w:type="dxa"/>
            <w:right w:w="108" w:type="dxa"/>
          </w:tblCellMar>
        </w:tblPrEx>
        <w:trPr>
          <w:trHeight w:val="109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医生办公室</w:t>
            </w:r>
          </w:p>
        </w:tc>
        <w:tc>
          <w:tcPr>
            <w:tcW w:w="1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空调柜机</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P</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套</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tblPrEx>
          <w:tblCellMar>
            <w:top w:w="0" w:type="dxa"/>
            <w:left w:w="108" w:type="dxa"/>
            <w:bottom w:w="0" w:type="dxa"/>
            <w:right w:w="108" w:type="dxa"/>
          </w:tblCellMar>
        </w:tblPrEx>
        <w:trPr>
          <w:trHeight w:val="75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2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标准病房及其他医疗用房</w:t>
            </w:r>
          </w:p>
        </w:tc>
        <w:tc>
          <w:tcPr>
            <w:tcW w:w="1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空调挂机</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P</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79套</w:t>
            </w:r>
          </w:p>
        </w:tc>
        <w:tc>
          <w:tcPr>
            <w:tcW w:w="12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包含西安分院19套</w:t>
            </w:r>
          </w:p>
        </w:tc>
      </w:tr>
    </w:tbl>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0" w:firstLineChars="200"/>
        <w:textAlignment w:val="auto"/>
        <w:rPr>
          <w:rFonts w:ascii="宋体" w:hAnsi="宋体" w:eastAsia="宋体" w:cs="宋体"/>
          <w:b/>
          <w:kern w:val="2"/>
          <w:sz w:val="24"/>
          <w:szCs w:val="24"/>
        </w:rPr>
      </w:pPr>
      <w:bookmarkStart w:id="3" w:name="_Toc29994"/>
      <w:bookmarkStart w:id="4" w:name="_Toc16050"/>
      <w:bookmarkStart w:id="5" w:name="_Toc2740"/>
      <w:bookmarkStart w:id="6" w:name="_Hlk75950874"/>
      <w:r>
        <w:rPr>
          <w:rFonts w:hint="eastAsia" w:ascii="宋体" w:hAnsi="宋体" w:eastAsia="宋体" w:cs="宋体"/>
          <w:b/>
          <w:kern w:val="2"/>
          <w:sz w:val="24"/>
          <w:szCs w:val="24"/>
          <w:lang w:eastAsia="zh-CN"/>
        </w:rPr>
        <w:t>二</w:t>
      </w:r>
      <w:r>
        <w:rPr>
          <w:rFonts w:hint="eastAsia" w:ascii="宋体" w:hAnsi="宋体" w:eastAsia="宋体" w:cs="宋体"/>
          <w:b/>
          <w:kern w:val="2"/>
          <w:sz w:val="24"/>
          <w:szCs w:val="24"/>
        </w:rPr>
        <w:t>、</w:t>
      </w:r>
      <w:bookmarkEnd w:id="3"/>
      <w:bookmarkEnd w:id="4"/>
      <w:r>
        <w:rPr>
          <w:rFonts w:hint="eastAsia" w:ascii="宋体" w:hAnsi="宋体" w:eastAsia="宋体" w:cs="宋体"/>
          <w:b/>
          <w:kern w:val="2"/>
          <w:sz w:val="24"/>
          <w:szCs w:val="24"/>
        </w:rPr>
        <w:t>技术参数及采购要求</w:t>
      </w:r>
      <w:bookmarkEnd w:id="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本项目包含空调设备采购但不限于设备采购及安装，管道、打孔、必要空开安装、调试、培训资料整理等工程施工全部内容。要求各投标供应商结合</w:t>
      </w:r>
      <w:r>
        <w:rPr>
          <w:rFonts w:hint="eastAsia"/>
          <w:sz w:val="24"/>
          <w:szCs w:val="24"/>
          <w:lang w:eastAsia="zh-CN"/>
        </w:rPr>
        <w:t>医院</w:t>
      </w:r>
      <w:r>
        <w:rPr>
          <w:rFonts w:hint="eastAsia"/>
          <w:sz w:val="24"/>
          <w:szCs w:val="24"/>
        </w:rPr>
        <w:t>现场实际情况对</w:t>
      </w:r>
      <w:r>
        <w:rPr>
          <w:rFonts w:hint="eastAsia"/>
          <w:sz w:val="24"/>
          <w:szCs w:val="24"/>
          <w:lang w:eastAsia="zh-CN"/>
        </w:rPr>
        <w:t>病区</w:t>
      </w:r>
      <w:r>
        <w:rPr>
          <w:rFonts w:hint="eastAsia"/>
          <w:sz w:val="24"/>
          <w:szCs w:val="24"/>
        </w:rPr>
        <w:t>进行设计、设备选型及安装，确保安装科学合理，注意其空调安装位置，必须保证建筑外立面美观整洁，下水管按照规范设计和处理，防止冷凝水乱排情况影响</w:t>
      </w:r>
      <w:r>
        <w:rPr>
          <w:rFonts w:hint="eastAsia"/>
          <w:sz w:val="24"/>
          <w:szCs w:val="24"/>
          <w:lang w:eastAsia="zh-CN"/>
        </w:rPr>
        <w:t>医院</w:t>
      </w:r>
      <w:r>
        <w:rPr>
          <w:rFonts w:hint="eastAsia"/>
          <w:sz w:val="24"/>
          <w:szCs w:val="24"/>
        </w:rPr>
        <w:t>外立面。具体采购需求和要求如下：</w:t>
      </w:r>
    </w:p>
    <w:bookmarkEnd w:id="6"/>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ascii="宋体" w:hAnsi="宋体" w:cs="宋体"/>
          <w:b/>
          <w:sz w:val="24"/>
          <w:szCs w:val="24"/>
        </w:rPr>
      </w:pPr>
      <w:r>
        <w:rPr>
          <w:rFonts w:hint="eastAsia" w:ascii="宋体" w:hAnsi="宋体" w:cs="宋体"/>
          <w:b/>
          <w:sz w:val="24"/>
          <w:szCs w:val="24"/>
        </w:rPr>
        <w:t>空调主要技术参数</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93"/>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采购项目名称</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1</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1.5P空调挂机</w:t>
            </w:r>
            <w:r>
              <w:rPr>
                <w:rFonts w:hint="eastAsia" w:ascii="宋体" w:hAnsi="宋体" w:cs="宋体"/>
                <w:b/>
                <w:bCs/>
                <w:color w:val="FF0000"/>
                <w:sz w:val="24"/>
                <w:szCs w:val="24"/>
                <w:highlight w:val="none"/>
                <w:lang w:eastAsia="zh-CN"/>
              </w:rPr>
              <w:t>（核心产品）</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空调类型：壁挂式空调，冷暖双制，变频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符合国家标准。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能效等级</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级及以上；</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制冷量：</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3500W</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制热量：</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4</w:t>
            </w:r>
            <w:r>
              <w:rPr>
                <w:rFonts w:ascii="宋体" w:hAnsi="宋体" w:cs="宋体"/>
                <w:color w:val="auto"/>
                <w:sz w:val="24"/>
                <w:szCs w:val="24"/>
                <w:highlight w:val="none"/>
              </w:rPr>
              <w:t>0</w:t>
            </w:r>
            <w:r>
              <w:rPr>
                <w:rFonts w:hint="eastAsia" w:ascii="宋体" w:hAnsi="宋体" w:cs="宋体"/>
                <w:color w:val="auto"/>
                <w:sz w:val="24"/>
                <w:szCs w:val="24"/>
                <w:highlight w:val="none"/>
              </w:rPr>
              <w:t>00W</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支持静音设计；</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带支架和铜管，按照</w:t>
            </w:r>
            <w:r>
              <w:rPr>
                <w:rFonts w:hint="eastAsia" w:ascii="宋体" w:hAnsi="宋体" w:cs="宋体"/>
                <w:color w:val="auto"/>
                <w:sz w:val="24"/>
                <w:szCs w:val="24"/>
                <w:highlight w:val="none"/>
                <w:lang w:eastAsia="zh-CN"/>
              </w:rPr>
              <w:t>院方</w:t>
            </w:r>
            <w:r>
              <w:rPr>
                <w:rFonts w:hint="eastAsia" w:ascii="宋体" w:hAnsi="宋体" w:cs="宋体"/>
                <w:color w:val="auto"/>
                <w:sz w:val="24"/>
                <w:szCs w:val="24"/>
                <w:highlight w:val="none"/>
              </w:rPr>
              <w:t>要求和实际安装位置安装到位。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P空调柜机</w:t>
            </w:r>
          </w:p>
        </w:tc>
        <w:tc>
          <w:tcPr>
            <w:tcW w:w="6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空调类型：柜式空调，冷暖双制，变频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符合国家标准。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能效等级</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级及以上；</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制冷量：</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7200</w:t>
            </w:r>
            <w:r>
              <w:rPr>
                <w:rFonts w:hint="eastAsia" w:ascii="宋体" w:hAnsi="宋体" w:cs="宋体"/>
                <w:color w:val="auto"/>
                <w:sz w:val="24"/>
                <w:szCs w:val="24"/>
                <w:highlight w:val="none"/>
              </w:rPr>
              <w:t>W</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制热量：</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9100</w:t>
            </w:r>
            <w:r>
              <w:rPr>
                <w:rFonts w:hint="eastAsia" w:ascii="宋体" w:hAnsi="宋体" w:cs="宋体"/>
                <w:color w:val="auto"/>
                <w:sz w:val="24"/>
                <w:szCs w:val="24"/>
                <w:highlight w:val="none"/>
              </w:rPr>
              <w:t>W；</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支持静音设计；</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带支架和铜管，按照</w:t>
            </w:r>
            <w:r>
              <w:rPr>
                <w:rFonts w:hint="eastAsia" w:ascii="宋体" w:hAnsi="宋体" w:cs="宋体"/>
                <w:color w:val="auto"/>
                <w:sz w:val="24"/>
                <w:szCs w:val="24"/>
                <w:highlight w:val="none"/>
                <w:lang w:eastAsia="zh-CN"/>
              </w:rPr>
              <w:t>院方</w:t>
            </w:r>
            <w:r>
              <w:rPr>
                <w:rFonts w:hint="eastAsia" w:ascii="宋体" w:hAnsi="宋体" w:cs="宋体"/>
                <w:color w:val="auto"/>
                <w:sz w:val="24"/>
                <w:szCs w:val="24"/>
                <w:highlight w:val="none"/>
              </w:rPr>
              <w:t>要求和实际安装位置安装到位。</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
          <w:bCs/>
          <w:sz w:val="24"/>
          <w:szCs w:val="24"/>
        </w:rPr>
      </w:pPr>
      <w:r>
        <w:rPr>
          <w:rFonts w:hint="eastAsia"/>
          <w:b/>
          <w:bCs/>
          <w:sz w:val="24"/>
          <w:szCs w:val="24"/>
        </w:rPr>
        <w:t>四、其他要求及说明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1、投标供应商应仔细阅读采购内容及要求中规定的所有条款，包括各项技术规格，并且应全部做出响应。本采购内容及要求并未对一切技术细节和辅助材料（比如空开、线缆等）做出规定，也未充分引述有关标准和规范的条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color w:val="auto"/>
          <w:sz w:val="24"/>
          <w:szCs w:val="24"/>
        </w:rPr>
      </w:pPr>
      <w:r>
        <w:rPr>
          <w:rFonts w:hint="eastAsia"/>
          <w:sz w:val="24"/>
          <w:szCs w:val="24"/>
          <w:lang w:val="en-US" w:eastAsia="zh-CN"/>
        </w:rPr>
        <w:t>★</w:t>
      </w:r>
      <w:r>
        <w:rPr>
          <w:rFonts w:hint="eastAsia"/>
          <w:sz w:val="24"/>
          <w:szCs w:val="24"/>
        </w:rPr>
        <w:t>本项目为“交钥匙工程”，各投标供应商应自行踏勘现场，安装过程中发生的所有辅材（诸如：漏电保护器，部分空调插座的迁</w:t>
      </w:r>
      <w:r>
        <w:rPr>
          <w:rFonts w:hint="eastAsia"/>
          <w:color w:val="auto"/>
          <w:sz w:val="24"/>
          <w:szCs w:val="24"/>
        </w:rPr>
        <w:t>移所需的电线、插座、空开，支架，吊架，膨胀螺丝，底座等）、墙体水钻开孔、拆装玻璃及窗户、吊装、墙面复原、运输及人工等一切安装所产生的费用须包含在投标报价内，不再另外付费和计算。请各投标供应商注意市场价格变化及需要供货、服务的内容等，确保全部空调设备保证按照规范要求进行安装，并确保能正常投入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2、所有设备由中标供应商负责运输、安装、调试以及所有耗材的准备。投标人所投标产品型号及规格参数描述要清楚、准确，不得出现“三无”产品</w:t>
      </w:r>
      <w:r>
        <w:rPr>
          <w:rFonts w:hint="eastAsia"/>
          <w:sz w:val="24"/>
          <w:szCs w:val="24"/>
          <w:lang w:eastAsia="zh-CN"/>
        </w:rPr>
        <w:t>（</w:t>
      </w:r>
      <w:r>
        <w:rPr>
          <w:rFonts w:hint="eastAsia"/>
          <w:sz w:val="24"/>
          <w:szCs w:val="24"/>
        </w:rPr>
        <w:t>无生产日期、无质量合格证以及无生产厂家</w:t>
      </w:r>
      <w:r>
        <w:rPr>
          <w:rFonts w:hint="eastAsia"/>
          <w:sz w:val="24"/>
          <w:szCs w:val="24"/>
          <w:lang w:eastAsia="zh-CN"/>
        </w:rPr>
        <w:t>）</w:t>
      </w:r>
      <w:r>
        <w:rPr>
          <w:rFonts w:hint="eastAsia"/>
          <w:sz w:val="24"/>
          <w:szCs w:val="24"/>
        </w:rPr>
        <w:t>，投标人所投标产品型号及规格参数与制造厂商的产品介绍（宣传）彩页或厂家产品规格参数证明等相关材料描述要一致，如果出现不一致或“三无”产品的现象，视为弄虚作假行为，按无效投标处理。如果中标后，采购人发现中标单位所供产品为“三无”产品，将按照政府采购管理规定，给予相应的处罚，并将中标单位的行为递交财政部门和企业信用管理部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3、由投标人负责在用户安装地进行免费安装调试及应用培训，培训期限为操作人员可独立操作为止。且确保有售后服务人员定期检查并及时解决故障。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4、所有设备应有合理的质保期。在质保期间发生的非人为损坏，均在采购人通知后24小时内免费上门服务。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5、投标供应商所提供的所有技术文件除非在技术规格中另作规定外，还必须符合以下三种标准中的一种标准的要求：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现行的中国国家标准；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部颁标准；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通用国际标准。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6、投标供应商所提供设备的设计、制造、性能、材料的选择和材料的检验及设备的测试等，都应按国内外通用的现行标准和相应的技术规范执行。而这些标准和技术规范应为合同签字日为止最新公布发行的标准和技术规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7、投标供应商必须提供投标设备的详细技术资料，以方便采购人评标、定标。投标供应商提供的货物必须是全新的，未使用的。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8、凡涉及专利权、专利技术、生产许可证、特许经营权、商标权、版权、计算机软件等无形资产的，应是投标供应商或投标供应商授权单位所有。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9、技术文件要求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（1）投标文件要求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①投标供应商务必在投标文件中明确所报价设备的型号、商标名称及生产厂家、产地。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②投标供应商在投标时应提供完整的技术文件，其中包括设备的性能参数、主要用途、工作原理、外观设计、结构示意图、安装效果图、易损零件图等资料。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③投标供应商在投标文件中必须提供与投标产品型号一致的技术证明资料及招标文件要求的质量检测报告，上述材料必须体现投标产品的主要技术参数规格等指标，此类资料是技术评议的重要依据。未按要求提供此类资料的，可能导致评标委员会因无法确定投标文件的技术响应度而按非响应投标处理。产品若需特殊的工作条件</w:t>
      </w:r>
      <w:r>
        <w:rPr>
          <w:rFonts w:hint="eastAsia"/>
          <w:sz w:val="24"/>
          <w:szCs w:val="24"/>
          <w:lang w:eastAsia="zh-CN"/>
        </w:rPr>
        <w:t>（</w:t>
      </w:r>
      <w:r>
        <w:rPr>
          <w:rFonts w:hint="eastAsia"/>
          <w:sz w:val="24"/>
          <w:szCs w:val="24"/>
        </w:rPr>
        <w:t>如：水、电源、磁场强度、特殊温度、湿度、震动强度等</w:t>
      </w:r>
      <w:r>
        <w:rPr>
          <w:rFonts w:hint="eastAsia"/>
          <w:sz w:val="24"/>
          <w:szCs w:val="24"/>
          <w:lang w:eastAsia="zh-CN"/>
        </w:rPr>
        <w:t>）</w:t>
      </w:r>
      <w:r>
        <w:rPr>
          <w:rFonts w:hint="eastAsia"/>
          <w:sz w:val="24"/>
          <w:szCs w:val="24"/>
        </w:rPr>
        <w:t>，投标供应商应在投标文件中加以说明。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④投标供应商提供的所有技术文件、资料、图样都应优先使用中文，字迹清楚，内容完整，采用ISO标准和中国的相应国家标准规定的通用图形的符号。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⑤投标供应商所提供的物品的技术规格应与每一品目所要求的相符。投标供应商应根据投标产品的正式出版样本如实逐项填写技术规格响应偏离表。若未根据正式出版样本如实填写，则有可能导致标书作为非响应投标处理。若投标供应商未如实填报技术规格响应偏离表或有弄虚作假行为，该投标书将作为无效投标处理。投标供应商未填写技术规格响应偏离表的，将被视为非响应性投标而被拒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10、安装施工要求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（1）布线应根据项目地点与</w:t>
      </w:r>
      <w:r>
        <w:rPr>
          <w:rFonts w:hint="eastAsia"/>
          <w:sz w:val="24"/>
          <w:szCs w:val="24"/>
          <w:lang w:eastAsia="zh-CN"/>
        </w:rPr>
        <w:t>病房</w:t>
      </w:r>
      <w:r>
        <w:rPr>
          <w:rFonts w:hint="eastAsia"/>
          <w:sz w:val="24"/>
          <w:szCs w:val="24"/>
        </w:rPr>
        <w:t>及办公室的实际状况进行整体布局、设计、施工。所有电源线等必须入槽，线槽连接处要使用连接配件。要注意防水、防漏电，经常过人处需在上面铺绝缘胶垫。电源线与电源插板的连接处、稳压电源的出入线连接处、空气开关的连接处要连接紧固，以免出现线路发热、接触不良等故障，机房内电源线必须可靠接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（2）网线应与电源线相隔至少5厘米以上，相互间原则上不应穿越，以防止引起电磁干扰。布线时要对每条线缆进行标号，各种线缆要分门别类捆扎好，绘制详细的布线平面图。消防要求：专业</w:t>
      </w:r>
      <w:r>
        <w:rPr>
          <w:rFonts w:hint="eastAsia"/>
          <w:sz w:val="24"/>
          <w:szCs w:val="24"/>
          <w:lang w:eastAsia="zh-CN"/>
        </w:rPr>
        <w:t>病房</w:t>
      </w:r>
      <w:r>
        <w:rPr>
          <w:rFonts w:hint="eastAsia"/>
          <w:sz w:val="24"/>
          <w:szCs w:val="24"/>
        </w:rPr>
        <w:t>内布线不应妨碍两个消防通道</w:t>
      </w:r>
      <w:r>
        <w:rPr>
          <w:rFonts w:hint="eastAsia"/>
          <w:sz w:val="24"/>
          <w:szCs w:val="24"/>
          <w:lang w:eastAsia="zh-CN"/>
        </w:rPr>
        <w:t>（</w:t>
      </w:r>
      <w:r>
        <w:rPr>
          <w:rFonts w:hint="eastAsia"/>
          <w:sz w:val="24"/>
          <w:szCs w:val="24"/>
        </w:rPr>
        <w:t>前门，后门</w:t>
      </w:r>
      <w:r>
        <w:rPr>
          <w:rFonts w:hint="eastAsia"/>
          <w:sz w:val="24"/>
          <w:szCs w:val="24"/>
          <w:lang w:eastAsia="zh-CN"/>
        </w:rPr>
        <w:t>）</w:t>
      </w:r>
      <w:r>
        <w:rPr>
          <w:rFonts w:hint="eastAsia"/>
          <w:sz w:val="24"/>
          <w:szCs w:val="24"/>
        </w:rPr>
        <w:t>。施工时必须注意用电安全，确保施工人员及</w:t>
      </w:r>
      <w:r>
        <w:rPr>
          <w:rFonts w:hint="eastAsia"/>
          <w:sz w:val="24"/>
          <w:szCs w:val="24"/>
          <w:lang w:eastAsia="zh-CN"/>
        </w:rPr>
        <w:t>医院人员</w:t>
      </w:r>
      <w:r>
        <w:rPr>
          <w:rFonts w:hint="eastAsia"/>
          <w:sz w:val="24"/>
          <w:szCs w:val="24"/>
        </w:rPr>
        <w:t>的安全。施工完毕后,要及时清扫施工现场,保证现场的整洁。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（3）供应商需根据现场踏勘情况，为所供货的</w:t>
      </w:r>
      <w:r>
        <w:rPr>
          <w:rFonts w:hint="eastAsia"/>
          <w:sz w:val="24"/>
          <w:szCs w:val="24"/>
          <w:lang w:eastAsia="zh-CN"/>
        </w:rPr>
        <w:t>医院</w:t>
      </w:r>
      <w:r>
        <w:rPr>
          <w:rFonts w:hint="eastAsia"/>
          <w:sz w:val="24"/>
          <w:szCs w:val="24"/>
        </w:rPr>
        <w:t>提供完善的安装方案，包括但不限于室外机摆放图、空调点位图等。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11、服务要求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sz w:val="24"/>
          <w:szCs w:val="24"/>
        </w:rPr>
        <w:t>投标供应商的责任包括从投标设备及其配件到整套设备的交付使用。投标供应商应提供在西安</w:t>
      </w:r>
      <w:r>
        <w:rPr>
          <w:rFonts w:hint="eastAsia"/>
          <w:sz w:val="24"/>
          <w:szCs w:val="24"/>
          <w:lang w:eastAsia="zh-CN"/>
        </w:rPr>
        <w:t>或咸阳</w:t>
      </w:r>
      <w:r>
        <w:rPr>
          <w:rFonts w:hint="eastAsia"/>
          <w:sz w:val="24"/>
          <w:szCs w:val="24"/>
        </w:rPr>
        <w:t>市内的售后服务中心自建证明材料或与合作方的协议书，这些服务中心和特约维修服务点的名称、地址、电话、联系人应在投标文件中一一列出。维修中心应备有对所购设备进行及时维修所需的常用关键零部件。投标供应商应保证设备在进行安装、调试和试运行等过程中损坏的或有缺陷的组件或零、部件可方便地得到修理和免费更换。设备使用期间，凡发生质量问题，</w:t>
      </w:r>
      <w:r>
        <w:rPr>
          <w:rFonts w:hint="eastAsia"/>
          <w:sz w:val="24"/>
          <w:szCs w:val="24"/>
          <w:lang w:eastAsia="zh-CN"/>
        </w:rPr>
        <w:t>投标供应商</w:t>
      </w:r>
      <w:r>
        <w:rPr>
          <w:rFonts w:hint="eastAsia"/>
          <w:sz w:val="24"/>
          <w:szCs w:val="24"/>
        </w:rPr>
        <w:t>均应能够及时地提供</w:t>
      </w:r>
      <w:r>
        <w:rPr>
          <w:rFonts w:hint="eastAsia"/>
          <w:sz w:val="24"/>
          <w:szCs w:val="24"/>
          <w:lang w:eastAsia="zh-CN"/>
        </w:rPr>
        <w:t>招标方</w:t>
      </w:r>
      <w:r>
        <w:rPr>
          <w:rFonts w:hint="eastAsia"/>
          <w:sz w:val="24"/>
          <w:szCs w:val="24"/>
        </w:rPr>
        <w:t>提出的技术服务要求。在质量保证期内，</w:t>
      </w:r>
      <w:r>
        <w:rPr>
          <w:rFonts w:hint="eastAsia"/>
          <w:sz w:val="24"/>
          <w:szCs w:val="24"/>
          <w:lang w:eastAsia="zh-CN"/>
        </w:rPr>
        <w:t>招标人</w:t>
      </w:r>
      <w:r>
        <w:rPr>
          <w:rFonts w:hint="eastAsia"/>
          <w:sz w:val="24"/>
          <w:szCs w:val="24"/>
        </w:rPr>
        <w:t>发出通知后，</w:t>
      </w:r>
      <w:r>
        <w:rPr>
          <w:rFonts w:hint="eastAsia"/>
          <w:sz w:val="24"/>
          <w:szCs w:val="24"/>
          <w:lang w:eastAsia="zh-CN"/>
        </w:rPr>
        <w:t>投标供应商</w:t>
      </w:r>
      <w:r>
        <w:rPr>
          <w:rFonts w:hint="eastAsia"/>
          <w:sz w:val="24"/>
          <w:szCs w:val="24"/>
        </w:rPr>
        <w:t>应提供维修服务，免费修理或更换不合格的零、部件，以保证设备正常运行。投标供应商必须定期巡检，每年不少于1次的全面巡检，在巡检的过程对硬件进行检修（包括但不限于清灰、检查运行情况、解决</w:t>
      </w:r>
      <w:r>
        <w:rPr>
          <w:rFonts w:hint="eastAsia"/>
          <w:sz w:val="24"/>
          <w:szCs w:val="24"/>
          <w:lang w:eastAsia="zh-CN"/>
        </w:rPr>
        <w:t>医院</w:t>
      </w:r>
      <w:r>
        <w:rPr>
          <w:rFonts w:hint="eastAsia"/>
          <w:sz w:val="24"/>
          <w:szCs w:val="24"/>
        </w:rPr>
        <w:t>提出的问题等）进行维护和维</w:t>
      </w:r>
      <w:r>
        <w:rPr>
          <w:rFonts w:hint="eastAsia" w:ascii="宋体" w:hAnsi="宋体" w:eastAsia="宋体" w:cs="宋体"/>
          <w:color w:val="auto"/>
          <w:sz w:val="24"/>
          <w:szCs w:val="24"/>
        </w:rPr>
        <w:t>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rPr>
      </w:pPr>
      <w:r>
        <w:rPr>
          <w:rFonts w:hint="eastAsia" w:ascii="宋体" w:hAnsi="宋体" w:eastAsia="宋体" w:cs="宋体"/>
          <w:color w:val="auto"/>
          <w:sz w:val="24"/>
          <w:szCs w:val="24"/>
        </w:rPr>
        <w:t>12、本项目不统一组织现场踏勘和考察，各投标供应商自行现场踏勘。</w:t>
      </w:r>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 xml:space="preserve"> 投标单位</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7" w:name="_Toc20354"/>
    </w:p>
    <w:bookmarkEnd w:id="7"/>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8"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8"/>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0" w:firstLineChars="200"/>
        <w:rPr>
          <w:rFonts w:hint="eastAsia"/>
          <w:b/>
          <w:bCs/>
        </w:rPr>
      </w:pPr>
      <w:r>
        <w:rPr>
          <w:rFonts w:hint="eastAsia" w:ascii="宋体" w:hAnsi="宋体" w:cs="宋体"/>
          <w:b/>
          <w:bCs/>
          <w:color w:val="FF0000"/>
          <w:sz w:val="24"/>
          <w:szCs w:val="24"/>
          <w:lang w:val="en-US" w:eastAsia="zh-CN"/>
        </w:rPr>
        <w:t>*</w:t>
      </w:r>
      <w:r>
        <w:rPr>
          <w:rFonts w:hint="eastAsia" w:ascii="宋体" w:hAnsi="宋体" w:cs="宋体"/>
          <w:b/>
          <w:bCs/>
          <w:color w:val="FF0000"/>
          <w:sz w:val="24"/>
          <w:szCs w:val="24"/>
          <w:lang w:eastAsia="zh-CN"/>
        </w:rPr>
        <w:t>五、本次招标单位为</w:t>
      </w:r>
      <w:r>
        <w:rPr>
          <w:rFonts w:hint="eastAsia" w:ascii="宋体" w:hAnsi="宋体" w:cs="宋体"/>
          <w:b/>
          <w:bCs/>
          <w:color w:val="FF0000"/>
          <w:sz w:val="24"/>
          <w:szCs w:val="24"/>
          <w:lang w:val="en-US" w:eastAsia="zh-CN"/>
        </w:rPr>
        <w:t>1家，若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通过单位</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3家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w:t>
      </w:r>
      <w:r>
        <w:rPr>
          <w:rFonts w:hint="eastAsia" w:ascii="宋体" w:hAnsi="宋体" w:eastAsia="宋体" w:cs="宋体"/>
          <w:b/>
          <w:bCs/>
          <w:color w:val="FF0000"/>
          <w:sz w:val="24"/>
          <w:szCs w:val="24"/>
        </w:rPr>
        <w:t>招标人重新组织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资格审查不再组织资格预审而直接招标。</w:t>
      </w:r>
    </w:p>
    <w:p>
      <w:pPr>
        <w:spacing w:line="360" w:lineRule="auto"/>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ind w:left="0" w:leftChars="0" w:firstLine="0" w:firstLineChars="0"/>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9" w:name="_Toc6973_WPSOffice_Level1"/>
      <w:bookmarkStart w:id="10" w:name="_Toc16590_WPSOffice_Level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本次评标方法采用综合评分法，综合评分因素的主要因素为报价、技术</w:t>
      </w:r>
      <w:r>
        <w:rPr>
          <w:rFonts w:hint="eastAsia" w:ascii="宋体" w:hAnsi="宋体" w:cs="宋体"/>
          <w:sz w:val="24"/>
          <w:szCs w:val="24"/>
          <w:lang w:val="en-US" w:eastAsia="zh-CN"/>
        </w:rPr>
        <w:t>参数</w:t>
      </w:r>
      <w:r>
        <w:rPr>
          <w:rFonts w:hint="eastAsia" w:ascii="宋体" w:hAnsi="宋体" w:cs="宋体"/>
          <w:sz w:val="24"/>
          <w:szCs w:val="24"/>
        </w:rPr>
        <w:t>、</w:t>
      </w:r>
      <w:r>
        <w:rPr>
          <w:rFonts w:hint="eastAsia" w:ascii="宋体" w:hAnsi="宋体" w:cs="宋体"/>
          <w:sz w:val="24"/>
          <w:szCs w:val="24"/>
          <w:lang w:val="en-US" w:eastAsia="zh-CN"/>
        </w:rPr>
        <w:t>质量保证、实施方案、</w:t>
      </w:r>
      <w:r>
        <w:rPr>
          <w:rFonts w:hint="eastAsia" w:ascii="宋体" w:hAnsi="宋体" w:cs="宋体"/>
          <w:sz w:val="24"/>
          <w:szCs w:val="24"/>
        </w:rPr>
        <w:t>业绩等以及对</w:t>
      </w:r>
      <w:r>
        <w:rPr>
          <w:rFonts w:hint="eastAsia" w:ascii="宋体" w:hAnsi="宋体" w:cs="宋体"/>
          <w:sz w:val="24"/>
          <w:szCs w:val="24"/>
          <w:lang w:eastAsia="zh-CN"/>
        </w:rPr>
        <w:t>竞争性磋商</w:t>
      </w:r>
      <w:r>
        <w:rPr>
          <w:rFonts w:hint="eastAsia" w:ascii="宋体" w:hAnsi="宋体" w:cs="宋体"/>
          <w:sz w:val="24"/>
          <w:szCs w:val="24"/>
        </w:rPr>
        <w:t>文件的响应程度。每一供应商的最终得分为所有评委评分的算数平均值四舍五入后保留到小数点后两位。</w:t>
      </w:r>
    </w:p>
    <w:tbl>
      <w:tblPr>
        <w:tblStyle w:val="1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32"/>
        <w:gridCol w:w="758"/>
        <w:gridCol w:w="476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noWrap w:val="0"/>
            <w:vAlign w:val="center"/>
          </w:tcPr>
          <w:p>
            <w:pPr>
              <w:widowControl/>
              <w:spacing w:line="360" w:lineRule="auto"/>
              <w:jc w:val="both"/>
              <w:rPr>
                <w:rFonts w:hint="eastAsia" w:ascii="宋体" w:hAnsi="宋体" w:eastAsia="宋体" w:cs="宋体"/>
                <w:b/>
                <w:sz w:val="24"/>
                <w:szCs w:val="24"/>
              </w:rPr>
            </w:pPr>
            <w:r>
              <w:rPr>
                <w:rFonts w:hint="eastAsia" w:ascii="宋体" w:hAnsi="宋体" w:eastAsia="宋体" w:cs="宋体"/>
                <w:b/>
                <w:sz w:val="24"/>
                <w:szCs w:val="24"/>
              </w:rPr>
              <w:t>序号</w:t>
            </w:r>
          </w:p>
        </w:tc>
        <w:tc>
          <w:tcPr>
            <w:tcW w:w="1232" w:type="dxa"/>
            <w:noWrap w:val="0"/>
            <w:vAlign w:val="center"/>
          </w:tcPr>
          <w:p>
            <w:pPr>
              <w:widowControl/>
              <w:spacing w:line="360" w:lineRule="auto"/>
              <w:jc w:val="both"/>
              <w:rPr>
                <w:rFonts w:hint="eastAsia" w:ascii="宋体" w:hAnsi="宋体" w:eastAsia="宋体" w:cs="宋体"/>
                <w:b/>
                <w:sz w:val="24"/>
                <w:szCs w:val="24"/>
              </w:rPr>
            </w:pPr>
            <w:r>
              <w:rPr>
                <w:rFonts w:hint="eastAsia" w:ascii="宋体" w:hAnsi="宋体" w:eastAsia="宋体" w:cs="宋体"/>
                <w:b/>
                <w:sz w:val="24"/>
                <w:szCs w:val="24"/>
              </w:rPr>
              <w:t>评分因素</w:t>
            </w:r>
          </w:p>
        </w:tc>
        <w:tc>
          <w:tcPr>
            <w:tcW w:w="758" w:type="dxa"/>
            <w:noWrap w:val="0"/>
            <w:vAlign w:val="center"/>
          </w:tcPr>
          <w:p>
            <w:pPr>
              <w:widowControl/>
              <w:spacing w:line="360" w:lineRule="auto"/>
              <w:jc w:val="both"/>
              <w:rPr>
                <w:rFonts w:hint="eastAsia" w:ascii="宋体" w:hAnsi="宋体" w:eastAsia="宋体" w:cs="宋体"/>
                <w:b/>
                <w:sz w:val="24"/>
                <w:szCs w:val="24"/>
              </w:rPr>
            </w:pPr>
            <w:r>
              <w:rPr>
                <w:rFonts w:hint="eastAsia" w:ascii="宋体" w:hAnsi="宋体" w:eastAsia="宋体" w:cs="宋体"/>
                <w:b/>
                <w:sz w:val="24"/>
                <w:szCs w:val="24"/>
              </w:rPr>
              <w:t>分值</w:t>
            </w:r>
          </w:p>
        </w:tc>
        <w:tc>
          <w:tcPr>
            <w:tcW w:w="4769" w:type="dxa"/>
            <w:noWrap w:val="0"/>
            <w:vAlign w:val="center"/>
          </w:tcPr>
          <w:p>
            <w:pPr>
              <w:widowControl/>
              <w:spacing w:line="360" w:lineRule="auto"/>
              <w:jc w:val="both"/>
              <w:rPr>
                <w:rFonts w:hint="eastAsia" w:ascii="宋体" w:hAnsi="宋体" w:eastAsia="宋体" w:cs="宋体"/>
                <w:b/>
                <w:sz w:val="24"/>
                <w:szCs w:val="24"/>
              </w:rPr>
            </w:pPr>
            <w:r>
              <w:rPr>
                <w:rFonts w:hint="eastAsia" w:ascii="宋体" w:hAnsi="宋体" w:eastAsia="宋体" w:cs="宋体"/>
                <w:b/>
                <w:sz w:val="24"/>
                <w:szCs w:val="24"/>
              </w:rPr>
              <w:t>评分标准</w:t>
            </w:r>
          </w:p>
        </w:tc>
        <w:tc>
          <w:tcPr>
            <w:tcW w:w="1643" w:type="dxa"/>
            <w:noWrap w:val="0"/>
            <w:vAlign w:val="center"/>
          </w:tcPr>
          <w:p>
            <w:pPr>
              <w:widowControl/>
              <w:spacing w:line="360" w:lineRule="auto"/>
              <w:jc w:val="both"/>
              <w:rPr>
                <w:rFonts w:hint="eastAsia" w:ascii="宋体" w:hAnsi="宋体" w:eastAsia="宋体" w:cs="宋体"/>
                <w:b/>
                <w:sz w:val="24"/>
                <w:szCs w:val="24"/>
              </w:rPr>
            </w:pPr>
            <w:r>
              <w:rPr>
                <w:rFonts w:hint="eastAsia" w:ascii="宋体" w:hAnsi="宋体" w:eastAsia="宋体" w:cs="宋体"/>
                <w:b/>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881"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3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758"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价格满足磋商文件要求且最终响应报价最低的报价为磋商基准价，其价格分为满分。其他供应商的价格分统一按照下列公式计算： </w:t>
            </w:r>
          </w:p>
          <w:p>
            <w:pPr>
              <w:widowControl/>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磋商报价计分=(磋商基准价／磋商报价)×</w:t>
            </w:r>
            <w:r>
              <w:rPr>
                <w:rFonts w:hint="eastAsia" w:ascii="宋体" w:hAnsi="宋体" w:eastAsia="宋体" w:cs="宋体"/>
                <w:sz w:val="24"/>
                <w:szCs w:val="24"/>
                <w:lang w:val="en-US" w:eastAsia="zh-CN"/>
              </w:rPr>
              <w:t>30</w:t>
            </w:r>
          </w:p>
          <w:p>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rPr>
              <w:t>计算分数时四舍五入取小数点后两位</w:t>
            </w:r>
          </w:p>
        </w:tc>
        <w:tc>
          <w:tcPr>
            <w:tcW w:w="1643" w:type="dxa"/>
            <w:noWrap w:val="0"/>
            <w:vAlign w:val="center"/>
          </w:tcPr>
          <w:p>
            <w:pPr>
              <w:widowControl/>
              <w:spacing w:line="36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1"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3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技术指标和配置</w:t>
            </w:r>
          </w:p>
        </w:tc>
        <w:tc>
          <w:tcPr>
            <w:tcW w:w="758"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4769" w:type="dxa"/>
            <w:noWrap w:val="0"/>
            <w:vAlign w:val="center"/>
          </w:tcPr>
          <w:p>
            <w:pPr>
              <w:widowControl/>
              <w:shd w:val="clear" w:color="auto" w:fill="auto"/>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根据供应商提供的技术偏离表及技术指标（参数）的相应的证明材料（包括但不限于</w:t>
            </w:r>
            <w:r>
              <w:rPr>
                <w:rFonts w:hint="eastAsia" w:ascii="宋体" w:hAnsi="宋体" w:eastAsia="宋体" w:cs="宋体"/>
                <w:kern w:val="0"/>
                <w:sz w:val="24"/>
                <w:szCs w:val="24"/>
                <w:highlight w:val="none"/>
                <w:lang w:val="en-US" w:eastAsia="zh-CN"/>
              </w:rPr>
              <w:t>经生产厂家确认的技术参数、</w:t>
            </w:r>
            <w:r>
              <w:rPr>
                <w:rFonts w:hint="eastAsia" w:ascii="宋体" w:hAnsi="宋体" w:eastAsia="宋体" w:cs="宋体"/>
                <w:kern w:val="0"/>
                <w:sz w:val="24"/>
                <w:szCs w:val="24"/>
                <w:highlight w:val="none"/>
              </w:rPr>
              <w:t>产品彩页、</w:t>
            </w:r>
            <w:r>
              <w:rPr>
                <w:rFonts w:hint="eastAsia" w:ascii="宋体" w:hAnsi="宋体" w:eastAsia="宋体" w:cs="宋体"/>
                <w:kern w:val="0"/>
                <w:sz w:val="24"/>
                <w:szCs w:val="24"/>
                <w:highlight w:val="none"/>
                <w:lang w:val="en-US" w:eastAsia="zh-CN"/>
              </w:rPr>
              <w:t>产品检测</w:t>
            </w:r>
            <w:r>
              <w:rPr>
                <w:rFonts w:hint="eastAsia" w:ascii="宋体" w:hAnsi="宋体" w:eastAsia="宋体" w:cs="宋体"/>
                <w:kern w:val="0"/>
                <w:sz w:val="24"/>
                <w:szCs w:val="24"/>
                <w:highlight w:val="none"/>
              </w:rPr>
              <w:t>报告和</w:t>
            </w:r>
            <w:r>
              <w:rPr>
                <w:rFonts w:hint="eastAsia" w:ascii="宋体" w:hAnsi="宋体" w:eastAsia="宋体" w:cs="宋体"/>
                <w:kern w:val="0"/>
                <w:sz w:val="24"/>
                <w:szCs w:val="24"/>
                <w:highlight w:val="none"/>
                <w:lang w:val="en-US" w:eastAsia="zh-CN"/>
              </w:rPr>
              <w:t>官网</w:t>
            </w:r>
            <w:r>
              <w:rPr>
                <w:rFonts w:hint="eastAsia" w:ascii="宋体" w:hAnsi="宋体" w:eastAsia="宋体" w:cs="宋体"/>
                <w:kern w:val="0"/>
                <w:sz w:val="24"/>
                <w:szCs w:val="24"/>
                <w:highlight w:val="none"/>
              </w:rPr>
              <w:t>功能截图等技术支持性文件（资料），并经评审专家审定方可得分。完全符合、响应招标文件要求，没有负偏离的计30分；参数负偏离一项扣</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分，扣完为止。</w:t>
            </w:r>
          </w:p>
          <w:p>
            <w:pPr>
              <w:widowControl/>
              <w:shd w:val="clear" w:color="auto" w:fill="auto"/>
              <w:spacing w:line="360" w:lineRule="auto"/>
              <w:jc w:val="both"/>
              <w:rPr>
                <w:rFonts w:hint="eastAsia" w:ascii="宋体" w:hAnsi="宋体" w:eastAsia="宋体" w:cs="宋体"/>
                <w:sz w:val="24"/>
                <w:szCs w:val="24"/>
              </w:rPr>
            </w:pPr>
            <w:r>
              <w:rPr>
                <w:rFonts w:hint="eastAsia" w:ascii="宋体" w:hAnsi="宋体" w:eastAsia="宋体" w:cs="宋体"/>
                <w:b w:val="0"/>
                <w:bCs w:val="0"/>
                <w:sz w:val="24"/>
                <w:szCs w:val="24"/>
              </w:rPr>
              <w:t>2、加分：投标</w:t>
            </w:r>
            <w:r>
              <w:rPr>
                <w:rFonts w:hint="eastAsia" w:ascii="宋体" w:hAnsi="宋体" w:cs="宋体"/>
                <w:b w:val="0"/>
                <w:bCs w:val="0"/>
                <w:sz w:val="24"/>
                <w:szCs w:val="24"/>
                <w:lang w:eastAsia="zh-CN"/>
              </w:rPr>
              <w:t>产品技术参数</w:t>
            </w:r>
            <w:r>
              <w:rPr>
                <w:rFonts w:hint="eastAsia" w:ascii="宋体" w:hAnsi="宋体" w:cs="宋体"/>
                <w:b w:val="0"/>
                <w:bCs w:val="0"/>
                <w:sz w:val="24"/>
                <w:szCs w:val="24"/>
                <w:lang w:val="en-US" w:eastAsia="zh-CN"/>
              </w:rPr>
              <w:t>有</w:t>
            </w:r>
            <w:r>
              <w:rPr>
                <w:rFonts w:hint="eastAsia" w:ascii="宋体" w:hAnsi="宋体" w:cs="宋体"/>
                <w:b w:val="0"/>
                <w:bCs w:val="0"/>
                <w:sz w:val="24"/>
                <w:szCs w:val="24"/>
                <w:lang w:eastAsia="zh-CN"/>
              </w:rPr>
              <w:t>正偏离并有实质性提升的</w:t>
            </w:r>
            <w:r>
              <w:rPr>
                <w:rFonts w:hint="eastAsia" w:ascii="宋体" w:hAnsi="宋体" w:eastAsia="宋体" w:cs="宋体"/>
                <w:b w:val="0"/>
                <w:bCs w:val="0"/>
                <w:sz w:val="24"/>
                <w:szCs w:val="24"/>
              </w:rPr>
              <w:t>加</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分，最多</w:t>
            </w:r>
            <w:r>
              <w:rPr>
                <w:rFonts w:hint="eastAsia" w:ascii="宋体" w:hAnsi="宋体" w:cs="宋体"/>
                <w:b w:val="0"/>
                <w:bCs w:val="0"/>
                <w:sz w:val="24"/>
                <w:szCs w:val="24"/>
                <w:lang w:eastAsia="zh-CN"/>
              </w:rPr>
              <w:t>加</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分。</w:t>
            </w:r>
          </w:p>
        </w:tc>
        <w:tc>
          <w:tcPr>
            <w:tcW w:w="1643" w:type="dxa"/>
            <w:noWrap w:val="0"/>
            <w:vAlign w:val="center"/>
          </w:tcPr>
          <w:p>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rPr>
              <w:t>采购文件要求提供证明材料而未提供或提供的证明材料不符合要求视为负偏离。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1" w:type="dxa"/>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232" w:type="dxa"/>
            <w:noWrap w:val="0"/>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质量保证</w:t>
            </w:r>
          </w:p>
        </w:tc>
        <w:tc>
          <w:tcPr>
            <w:tcW w:w="758" w:type="dxa"/>
            <w:noWrap w:val="0"/>
            <w:vAlign w:val="center"/>
          </w:tcPr>
          <w:p>
            <w:pPr>
              <w:widowControl/>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4769" w:type="dxa"/>
            <w:noWrap w:val="0"/>
            <w:vAlign w:val="center"/>
          </w:tcPr>
          <w:p>
            <w:pPr>
              <w:widowControl/>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供应商所提供产品源渠道合法，提供</w:t>
            </w:r>
            <w:r>
              <w:rPr>
                <w:rFonts w:hint="eastAsia" w:ascii="宋体" w:hAnsi="宋体" w:eastAsia="宋体" w:cs="宋体"/>
                <w:b w:val="0"/>
                <w:bCs w:val="0"/>
                <w:sz w:val="24"/>
                <w:szCs w:val="24"/>
                <w:lang w:eastAsia="zh-CN"/>
              </w:rPr>
              <w:t>所投产品</w:t>
            </w:r>
            <w:r>
              <w:rPr>
                <w:rFonts w:hint="eastAsia" w:ascii="宋体" w:hAnsi="宋体" w:eastAsia="宋体" w:cs="宋体"/>
                <w:b w:val="0"/>
                <w:bCs w:val="0"/>
                <w:sz w:val="24"/>
                <w:szCs w:val="24"/>
              </w:rPr>
              <w:t>来源渠道合法的证明文件（包括但不限于销售协议、代理协议、原厂授权等）每提供一个得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分，最高得6分。</w:t>
            </w:r>
          </w:p>
        </w:tc>
        <w:tc>
          <w:tcPr>
            <w:tcW w:w="1643" w:type="dxa"/>
            <w:noWrap w:val="0"/>
            <w:vAlign w:val="center"/>
          </w:tcPr>
          <w:p>
            <w:pPr>
              <w:widowControl/>
              <w:spacing w:line="36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1" w:type="dxa"/>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23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758"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76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具有完整的项目实施方案，包括项目总体实施方案、</w:t>
            </w:r>
            <w:r>
              <w:rPr>
                <w:rFonts w:hint="eastAsia" w:ascii="宋体" w:hAnsi="宋体" w:eastAsia="宋体" w:cs="宋体"/>
                <w:sz w:val="24"/>
                <w:szCs w:val="24"/>
                <w:lang w:val="en-US" w:eastAsia="zh-CN"/>
              </w:rPr>
              <w:t>运输及供货方案、人员配备</w:t>
            </w:r>
            <w:r>
              <w:rPr>
                <w:rFonts w:hint="eastAsia" w:ascii="宋体" w:hAnsi="宋体" w:eastAsia="宋体" w:cs="宋体"/>
                <w:sz w:val="24"/>
                <w:szCs w:val="24"/>
              </w:rPr>
              <w:t>方案、项目应急预案、项目实施安全方案、安装调试方案、项目验收方案等内容。</w:t>
            </w:r>
          </w:p>
          <w:p>
            <w:pPr>
              <w:widowControl/>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rPr>
              <w:t>方案内容齐全，各类措施健全，完全满足采购需求并符合本项目实施特点得</w:t>
            </w:r>
            <w:r>
              <w:rPr>
                <w:rFonts w:hint="eastAsia" w:ascii="宋体" w:hAnsi="宋体" w:eastAsia="宋体" w:cs="宋体"/>
                <w:sz w:val="24"/>
                <w:szCs w:val="24"/>
                <w:lang w:val="en-US" w:eastAsia="zh-CN"/>
              </w:rPr>
              <w:t>8.1-1</w:t>
            </w:r>
            <w:r>
              <w:rPr>
                <w:rFonts w:hint="eastAsia" w:ascii="宋体" w:hAnsi="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val="en-US" w:eastAsia="zh-CN"/>
              </w:rPr>
              <w:t>方案内容基本齐全、各类措施基本完善，能够基本符合本项目实施特点的得4.1-8分</w:t>
            </w:r>
            <w:r>
              <w:rPr>
                <w:rFonts w:hint="eastAsia" w:ascii="宋体" w:hAnsi="宋体" w:eastAsia="宋体" w:cs="宋体"/>
                <w:sz w:val="24"/>
                <w:szCs w:val="24"/>
              </w:rPr>
              <w:t>；</w:t>
            </w:r>
            <w:r>
              <w:rPr>
                <w:rFonts w:hint="eastAsia" w:ascii="宋体" w:hAnsi="宋体" w:eastAsia="宋体" w:cs="宋体"/>
                <w:kern w:val="0"/>
                <w:sz w:val="24"/>
                <w:szCs w:val="24"/>
                <w:highlight w:val="none"/>
                <w:lang w:val="en-US" w:eastAsia="zh-CN"/>
              </w:rPr>
              <w:t>方案内容及各类措施不够完善，不能满足本项目采购需求的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未提供不计分。</w:t>
            </w:r>
          </w:p>
        </w:tc>
        <w:tc>
          <w:tcPr>
            <w:tcW w:w="1643" w:type="dxa"/>
            <w:noWrap w:val="0"/>
            <w:vAlign w:val="center"/>
          </w:tcPr>
          <w:p>
            <w:pPr>
              <w:widowControl/>
              <w:spacing w:line="36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232"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758" w:type="dxa"/>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47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针对本项目有完整的售后服务方案，制订了本地化服务的承诺、质保时间、质保期内的保修内容和应急方案，明确了售后服务人员，有相应的物力、人力保障，能够保证售后服务正常运转，补救等方面的措施或方案，同时具有明确的承诺且符合实际需求，提供详细的售后服务方案及售后服务承诺等，方案充实详细记</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售后服务方案及售后服务承诺及售后服务的措施基本完整，计</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售后服务方案不完整，没有针对本项目的售后服务承诺和具体措施，计1-</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p>
          <w:p>
            <w:pPr>
              <w:widowControl/>
              <w:spacing w:line="360" w:lineRule="auto"/>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未提供不计分。</w:t>
            </w:r>
          </w:p>
        </w:tc>
        <w:tc>
          <w:tcPr>
            <w:tcW w:w="1643" w:type="dxa"/>
            <w:noWrap w:val="0"/>
            <w:vAlign w:val="center"/>
          </w:tcPr>
          <w:p>
            <w:pPr>
              <w:widowControl/>
              <w:spacing w:line="360" w:lineRule="auto"/>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业绩</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w:t>
            </w:r>
            <w:r>
              <w:rPr>
                <w:rFonts w:hint="eastAsia" w:ascii="宋体" w:hAnsi="宋体" w:cs="宋体"/>
                <w:sz w:val="24"/>
                <w:szCs w:val="24"/>
                <w:lang w:val="en-US" w:eastAsia="zh-CN"/>
              </w:rPr>
              <w:t>2020</w:t>
            </w:r>
            <w:r>
              <w:rPr>
                <w:rFonts w:hint="eastAsia" w:ascii="宋体" w:hAnsi="宋体" w:eastAsia="宋体" w:cs="宋体"/>
                <w:sz w:val="24"/>
                <w:szCs w:val="24"/>
              </w:rPr>
              <w:t>年1月1日至今所投同类</w:t>
            </w:r>
            <w:r>
              <w:rPr>
                <w:rFonts w:hint="eastAsia" w:ascii="宋体" w:hAnsi="宋体" w:eastAsia="宋体" w:cs="宋体"/>
                <w:sz w:val="24"/>
                <w:szCs w:val="24"/>
                <w:lang w:val="en-US" w:eastAsia="zh-CN"/>
              </w:rPr>
              <w:t>项目</w:t>
            </w:r>
            <w:r>
              <w:rPr>
                <w:rFonts w:hint="eastAsia" w:ascii="宋体" w:hAnsi="宋体" w:eastAsia="宋体" w:cs="宋体"/>
                <w:sz w:val="24"/>
                <w:szCs w:val="24"/>
              </w:rPr>
              <w:t>业绩（以合同签订日期为准，仅限</w:t>
            </w:r>
            <w:r>
              <w:rPr>
                <w:rFonts w:hint="eastAsia" w:ascii="宋体" w:hAnsi="宋体" w:eastAsia="宋体" w:cs="宋体"/>
                <w:sz w:val="24"/>
                <w:szCs w:val="24"/>
                <w:lang w:val="en-US" w:eastAsia="zh-CN"/>
              </w:rPr>
              <w:t>供应商</w:t>
            </w:r>
            <w:r>
              <w:rPr>
                <w:rFonts w:hint="eastAsia" w:ascii="宋体" w:hAnsi="宋体" w:eastAsia="宋体" w:cs="宋体"/>
                <w:sz w:val="24"/>
                <w:szCs w:val="24"/>
              </w:rPr>
              <w:t>本身，提供合同复印件）进行评定，每份计1分，最高计</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节能环保产品</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sz w:val="24"/>
                <w:szCs w:val="24"/>
                <w:highlight w:val="none"/>
              </w:rPr>
            </w:pPr>
            <w:r>
              <w:rPr>
                <w:rFonts w:hint="eastAsia" w:ascii="宋体" w:hAnsi="宋体" w:cs="宋体"/>
                <w:sz w:val="24"/>
                <w:szCs w:val="24"/>
              </w:rPr>
              <w:t>供应商投标产品中每有一项为节能产品经国家认证的得</w:t>
            </w:r>
            <w:r>
              <w:rPr>
                <w:rFonts w:hint="eastAsia" w:ascii="宋体" w:hAnsi="宋体" w:cs="宋体"/>
                <w:sz w:val="24"/>
                <w:szCs w:val="24"/>
                <w:lang w:val="en-US" w:eastAsia="zh-CN"/>
              </w:rPr>
              <w:t>1</w:t>
            </w:r>
            <w:r>
              <w:rPr>
                <w:rFonts w:hint="eastAsia" w:ascii="宋体" w:hAnsi="宋体" w:cs="宋体"/>
                <w:sz w:val="24"/>
                <w:szCs w:val="24"/>
              </w:rPr>
              <w:t>分，每有一项为环境标志产品经国家认证的得</w:t>
            </w:r>
            <w:r>
              <w:rPr>
                <w:rFonts w:hint="eastAsia" w:ascii="宋体" w:hAnsi="宋体" w:cs="宋体"/>
                <w:sz w:val="24"/>
                <w:szCs w:val="24"/>
                <w:lang w:val="en-US" w:eastAsia="zh-CN"/>
              </w:rPr>
              <w:t>1</w:t>
            </w:r>
            <w:r>
              <w:rPr>
                <w:rFonts w:hint="eastAsia" w:ascii="宋体" w:hAnsi="宋体" w:cs="宋体"/>
                <w:sz w:val="24"/>
                <w:szCs w:val="24"/>
              </w:rPr>
              <w:t>分，最多得</w:t>
            </w:r>
            <w:r>
              <w:rPr>
                <w:rFonts w:hint="eastAsia" w:ascii="宋体" w:hAnsi="宋体" w:cs="宋体"/>
                <w:sz w:val="24"/>
                <w:szCs w:val="24"/>
                <w:lang w:val="en-US" w:eastAsia="zh-CN"/>
              </w:rPr>
              <w:t>2</w:t>
            </w:r>
            <w:r>
              <w:rPr>
                <w:rFonts w:hint="eastAsia" w:ascii="宋体" w:hAnsi="宋体" w:cs="宋体"/>
                <w:sz w:val="24"/>
                <w:szCs w:val="24"/>
              </w:rPr>
              <w:t>分。（以经国家确定的认证机构出具的、处于有效期内的节能产品、环境标志产品认证证书为准。）</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以国家确定的认证机构出具的、处于有效期内的节能产品、环境标志产品认证证书为准。</w:t>
            </w:r>
          </w:p>
        </w:tc>
      </w:tr>
    </w:tbl>
    <w:p>
      <w:pPr>
        <w:rPr>
          <w:rFonts w:hint="eastAsia"/>
        </w:rPr>
      </w:pPr>
    </w:p>
    <w:bookmarkEnd w:id="9"/>
    <w:bookmarkEnd w:id="10"/>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1" w:name="_Toc259455689"/>
      <w:bookmarkStart w:id="12" w:name="_Ref467307010"/>
      <w:bookmarkStart w:id="13" w:name="成交供货商候选人的确定标准"/>
      <w:bookmarkStart w:id="14" w:name="_Toc520356170"/>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1"/>
      <w:bookmarkEnd w:id="12"/>
      <w:bookmarkEnd w:id="13"/>
      <w:bookmarkEnd w:id="14"/>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w:t>
      </w:r>
      <w:r>
        <w:rPr>
          <w:rFonts w:hint="eastAsia" w:ascii="宋体" w:hAnsi="宋体" w:eastAsia="宋体" w:cs="宋体"/>
          <w:sz w:val="24"/>
          <w:szCs w:val="24"/>
          <w:highlight w:val="none"/>
        </w:rPr>
        <w:t>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ind w:left="0" w:leftChars="0" w:firstLine="0" w:firstLineChars="0"/>
        <w:rPr>
          <w:rFonts w:hint="eastAsia" w:ascii="宋体" w:hAnsi="宋体"/>
          <w:sz w:val="28"/>
          <w:szCs w:val="28"/>
          <w:highlight w:val="none"/>
        </w:rPr>
      </w:pPr>
    </w:p>
    <w:p>
      <w:pPr>
        <w:keepNext w:val="0"/>
        <w:keepLines w:val="0"/>
        <w:pageBreakBefore w:val="0"/>
        <w:numPr>
          <w:ilvl w:val="0"/>
          <w:numId w:val="4"/>
        </w:numPr>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 </w:t>
      </w:r>
      <w:r>
        <w:rPr>
          <w:rStyle w:val="26"/>
          <w:rFonts w:hint="eastAsia" w:ascii="宋体" w:hAnsi="宋体" w:eastAsia="宋体" w:cs="宋体"/>
          <w:b/>
          <w:sz w:val="36"/>
          <w:szCs w:val="36"/>
          <w:highlight w:val="none"/>
          <w:lang w:eastAsia="zh-CN"/>
        </w:rPr>
        <w:t>合同</w:t>
      </w:r>
      <w:r>
        <w:rPr>
          <w:rStyle w:val="26"/>
          <w:rFonts w:hint="eastAsia" w:ascii="宋体" w:hAnsi="宋体" w:cs="宋体"/>
          <w:b/>
          <w:sz w:val="36"/>
          <w:szCs w:val="36"/>
          <w:highlight w:val="none"/>
          <w:lang w:eastAsia="zh-CN"/>
        </w:rPr>
        <w:t>草案</w:t>
      </w:r>
      <w:r>
        <w:rPr>
          <w:rStyle w:val="26"/>
          <w:rFonts w:hint="eastAsia" w:ascii="宋体" w:hAnsi="宋体" w:eastAsia="宋体" w:cs="宋体"/>
          <w:b/>
          <w:sz w:val="36"/>
          <w:szCs w:val="36"/>
          <w:highlight w:val="none"/>
          <w:lang w:eastAsia="zh-CN"/>
        </w:rPr>
        <w:t>条款</w:t>
      </w:r>
    </w:p>
    <w:p>
      <w:pPr>
        <w:spacing w:line="360" w:lineRule="auto"/>
        <w:ind w:firstLine="480" w:firstLineChars="200"/>
        <w:rPr>
          <w:rFonts w:hint="eastAsia" w:ascii="宋体" w:hAnsi="宋体" w:cs="宋体"/>
          <w:sz w:val="24"/>
        </w:rPr>
      </w:pPr>
      <w:r>
        <w:rPr>
          <w:rFonts w:hint="eastAsia" w:ascii="宋体" w:hAnsi="宋体" w:cs="宋体"/>
          <w:sz w:val="24"/>
        </w:rPr>
        <w:t>甲方：陕西中医药大学第二附属医院，其注册登记地址为：</w:t>
      </w:r>
      <w:r>
        <w:rPr>
          <w:rFonts w:hint="eastAsia" w:ascii="宋体" w:hAnsi="宋体" w:cs="宋体"/>
          <w:sz w:val="24"/>
          <w:u w:val="single"/>
        </w:rPr>
        <w:t>陕西省咸阳市渭阳西路5号</w:t>
      </w:r>
      <w:r>
        <w:rPr>
          <w:rFonts w:hint="eastAsia" w:ascii="宋体" w:hAnsi="宋体" w:cs="宋体"/>
          <w:sz w:val="24"/>
        </w:rPr>
        <w:t>，法定代表人为：</w:t>
      </w:r>
      <w:r>
        <w:rPr>
          <w:rFonts w:hint="eastAsia" w:ascii="宋体" w:hAnsi="宋体" w:cs="宋体"/>
          <w:sz w:val="24"/>
          <w:u w:val="single"/>
        </w:rPr>
        <w:t xml:space="preserve">  缪峰    </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乙方：</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，其注册登记地址为：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根据《中华人民共和国民法典》和《中华人民共和国政府采购法》等相关法律法规，遵循平等自愿、公平的原则，就乙方向甲方提供货物及服务事宜，经甲乙双方协商一致，订立本合同。</w:t>
      </w:r>
    </w:p>
    <w:p>
      <w:pPr>
        <w:spacing w:line="360" w:lineRule="auto"/>
        <w:ind w:firstLine="480" w:firstLineChars="200"/>
        <w:rPr>
          <w:rFonts w:hint="eastAsia" w:ascii="宋体" w:hAnsi="宋体" w:cs="宋体"/>
          <w:b/>
          <w:bCs/>
          <w:sz w:val="24"/>
        </w:rPr>
      </w:pPr>
      <w:r>
        <w:rPr>
          <w:rFonts w:hint="eastAsia" w:ascii="宋体" w:hAnsi="宋体" w:cs="宋体"/>
          <w:b/>
          <w:bCs/>
          <w:sz w:val="24"/>
        </w:rPr>
        <w:t>第一条 采购设备名称、数量、价款</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1.1采购设备名称：</w:t>
      </w:r>
      <w:r>
        <w:rPr>
          <w:rFonts w:hint="eastAsia" w:ascii="宋体" w:hAnsi="宋体" w:cs="宋体"/>
          <w:sz w:val="24"/>
          <w:lang w:val="en-US" w:eastAsia="zh-CN"/>
        </w:rPr>
        <w:t>1.5匹空调挂机、3p空调柜机</w:t>
      </w:r>
    </w:p>
    <w:p>
      <w:pPr>
        <w:spacing w:line="360" w:lineRule="auto"/>
        <w:ind w:firstLine="480" w:firstLineChars="200"/>
        <w:rPr>
          <w:rFonts w:hint="eastAsia" w:ascii="宋体" w:hAnsi="宋体" w:cs="宋体"/>
          <w:sz w:val="24"/>
          <w:highlight w:val="none"/>
        </w:rPr>
      </w:pPr>
      <w:r>
        <w:rPr>
          <w:rFonts w:hint="eastAsia" w:ascii="宋体" w:hAnsi="宋体" w:cs="宋体"/>
          <w:sz w:val="24"/>
        </w:rPr>
        <w:t>1.2合同总价款：人民币</w:t>
      </w:r>
      <w:r>
        <w:rPr>
          <w:rFonts w:hint="eastAsia" w:ascii="宋体" w:hAnsi="宋体" w:cs="宋体"/>
          <w:sz w:val="24"/>
          <w:lang w:val="en-US" w:eastAsia="zh-CN"/>
        </w:rPr>
        <w:t xml:space="preserve">   </w:t>
      </w:r>
      <w:r>
        <w:rPr>
          <w:rFonts w:hint="eastAsia" w:ascii="宋体" w:hAnsi="宋体" w:cs="宋体"/>
          <w:sz w:val="24"/>
        </w:rPr>
        <w:t>元整（￥</w:t>
      </w:r>
      <w:r>
        <w:rPr>
          <w:rFonts w:hint="eastAsia" w:ascii="宋体" w:hAnsi="宋体" w:cs="宋体"/>
          <w:sz w:val="24"/>
          <w:lang w:val="en-US" w:eastAsia="zh-CN"/>
        </w:rPr>
        <w:t xml:space="preserve">   </w:t>
      </w:r>
      <w:r>
        <w:rPr>
          <w:rFonts w:hint="eastAsia" w:ascii="宋体" w:hAnsi="宋体" w:cs="宋体"/>
          <w:sz w:val="24"/>
        </w:rPr>
        <w:t>.00）。采购设备</w:t>
      </w:r>
      <w:r>
        <w:rPr>
          <w:rFonts w:hint="eastAsia" w:ascii="宋体" w:hAnsi="宋体" w:cs="宋体"/>
          <w:sz w:val="24"/>
          <w:highlight w:val="none"/>
        </w:rPr>
        <w:t>清单及价格、技术说明及设备详细配置清单详见附件。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1.3 本合同所供设备的数量最终以双方授权代表签字合同为准；收货单据只作为设备规格、数量证明文件，不作为结算依据。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本合同总额为设备到达使用地点，验收合格达到正常使用条件前的所有费用，包括但不限于设备生产、包装、运输（含装卸费）、成品保护、仓储、安装所需辅材、调试、各项试验检验费、保险费、验收费、劳保基金、增值税、关税、安全措施、技术指导支持、使用培训及质保期服务以及设备有关的特殊要求等可能产生的所有成本和费用。在合同执行期内，非经甲方书面同意。以上价款无论任何情况均不予调整。</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1.5除非本合同有特殊约定，否则，所有税费均已包含入本合同价款。乙方纳税人资格变更，合同价款不做调整。若因国家税务政策变化导致税率变动，双方协商解决。</w:t>
      </w:r>
    </w:p>
    <w:p>
      <w:pPr>
        <w:spacing w:line="360" w:lineRule="auto"/>
        <w:ind w:firstLine="480" w:firstLineChars="200"/>
        <w:rPr>
          <w:rFonts w:hint="eastAsia" w:ascii="宋体" w:hAnsi="宋体" w:cs="宋体"/>
          <w:b/>
          <w:bCs/>
          <w:sz w:val="24"/>
        </w:rPr>
      </w:pPr>
      <w:r>
        <w:rPr>
          <w:rFonts w:hint="eastAsia" w:ascii="宋体" w:hAnsi="宋体" w:cs="宋体"/>
          <w:b/>
          <w:bCs/>
          <w:sz w:val="24"/>
        </w:rPr>
        <w:t>第二条</w:t>
      </w:r>
      <w:r>
        <w:rPr>
          <w:rFonts w:hint="eastAsia" w:ascii="宋体" w:hAnsi="宋体" w:cs="宋体"/>
          <w:b/>
          <w:bCs/>
          <w:sz w:val="24"/>
        </w:rPr>
        <w:tab/>
      </w:r>
      <w:r>
        <w:rPr>
          <w:rFonts w:hint="eastAsia" w:ascii="宋体" w:hAnsi="宋体" w:cs="宋体"/>
          <w:b/>
          <w:bCs/>
          <w:sz w:val="24"/>
        </w:rPr>
        <w:t>设备质量要求</w:t>
      </w:r>
    </w:p>
    <w:p>
      <w:pPr>
        <w:spacing w:line="360" w:lineRule="auto"/>
        <w:ind w:firstLine="480" w:firstLineChars="200"/>
        <w:rPr>
          <w:rFonts w:hint="eastAsia" w:ascii="宋体" w:hAnsi="宋体" w:cs="宋体"/>
          <w:sz w:val="24"/>
        </w:rPr>
      </w:pPr>
      <w:r>
        <w:rPr>
          <w:rFonts w:hint="eastAsia" w:ascii="宋体" w:hAnsi="宋体" w:cs="宋体"/>
          <w:sz w:val="24"/>
        </w:rPr>
        <w:t>2.1乙方必须保证所提供的设备及配套产品是合同规定厂家制造的、崭新的、未曾使用过的合格产品，且产品质量必须满足技术协议（本合同附件）中的参数要求，开箱合格率达到100%。</w:t>
      </w:r>
    </w:p>
    <w:p>
      <w:pPr>
        <w:spacing w:line="360" w:lineRule="auto"/>
        <w:ind w:firstLine="480" w:firstLineChars="200"/>
        <w:rPr>
          <w:rFonts w:hint="eastAsia" w:ascii="宋体" w:hAnsi="宋体" w:cs="宋体"/>
          <w:sz w:val="24"/>
        </w:rPr>
      </w:pPr>
      <w:r>
        <w:rPr>
          <w:rFonts w:hint="eastAsia" w:ascii="宋体" w:hAnsi="宋体" w:cs="宋体"/>
          <w:sz w:val="24"/>
        </w:rPr>
        <w:t>2.2设备质量应符合国家、行业、地方性规范（标准）要求；无国家、行业、地方性规范（标准）的，应符合企业标准，乙方应当提交企业标准，作为合同附件。上述规范（标准）均不存在的。应满足其正常使用的性能要求。</w:t>
      </w:r>
    </w:p>
    <w:p>
      <w:pPr>
        <w:spacing w:line="360" w:lineRule="auto"/>
        <w:ind w:firstLine="480" w:firstLineChars="200"/>
        <w:rPr>
          <w:rFonts w:hint="eastAsia" w:ascii="宋体" w:hAnsi="宋体" w:cs="宋体"/>
          <w:sz w:val="24"/>
        </w:rPr>
      </w:pPr>
      <w:r>
        <w:rPr>
          <w:rFonts w:hint="eastAsia" w:ascii="宋体" w:hAnsi="宋体" w:cs="宋体"/>
          <w:sz w:val="24"/>
        </w:rPr>
        <w:t>2.3设备质量还应符合乙方承诺的质量标准。乙方报送甲方的书面资料，包括投标文件或单独的报价文件、乙方（或生产厂家）宣传资料及乙方（或生产厂家）公开宣传的内容，均构成其承诺。</w:t>
      </w:r>
    </w:p>
    <w:p>
      <w:pPr>
        <w:spacing w:line="360" w:lineRule="auto"/>
        <w:ind w:firstLine="480" w:firstLineChars="200"/>
        <w:rPr>
          <w:rFonts w:hint="eastAsia" w:ascii="宋体" w:hAnsi="宋体" w:cs="宋体"/>
          <w:sz w:val="24"/>
        </w:rPr>
      </w:pPr>
      <w:r>
        <w:rPr>
          <w:rFonts w:hint="eastAsia" w:ascii="宋体" w:hAnsi="宋体" w:cs="宋体"/>
          <w:sz w:val="24"/>
        </w:rPr>
        <w:t>2.4鉴于甲方对设备质量标准的了解程度不及乙方，本合同所列明的各种质量要求或技术质量标准，应执行最高标准。</w:t>
      </w:r>
    </w:p>
    <w:p>
      <w:pPr>
        <w:spacing w:line="360" w:lineRule="auto"/>
        <w:ind w:firstLine="480" w:firstLineChars="200"/>
        <w:rPr>
          <w:rFonts w:hint="eastAsia" w:ascii="宋体" w:hAnsi="宋体" w:cs="宋体"/>
          <w:b/>
          <w:bCs/>
          <w:sz w:val="24"/>
        </w:rPr>
      </w:pPr>
      <w:r>
        <w:rPr>
          <w:rFonts w:hint="eastAsia" w:ascii="宋体" w:hAnsi="宋体" w:cs="宋体"/>
          <w:b/>
          <w:bCs/>
          <w:sz w:val="24"/>
        </w:rPr>
        <w:t>第三条</w:t>
      </w:r>
      <w:r>
        <w:rPr>
          <w:rFonts w:hint="eastAsia" w:ascii="宋体" w:hAnsi="宋体" w:cs="宋体"/>
          <w:b/>
          <w:bCs/>
          <w:sz w:val="24"/>
        </w:rPr>
        <w:tab/>
      </w:r>
      <w:r>
        <w:rPr>
          <w:rFonts w:hint="eastAsia" w:ascii="宋体" w:hAnsi="宋体" w:cs="宋体"/>
          <w:b/>
          <w:bCs/>
          <w:sz w:val="24"/>
        </w:rPr>
        <w:t>交货时间、交货地点、运输方式及费用承担</w:t>
      </w:r>
    </w:p>
    <w:p>
      <w:pPr>
        <w:spacing w:line="360" w:lineRule="auto"/>
        <w:ind w:firstLine="480" w:firstLineChars="200"/>
        <w:rPr>
          <w:rFonts w:hint="eastAsia" w:ascii="宋体" w:hAnsi="宋体" w:cs="宋体"/>
          <w:sz w:val="24"/>
        </w:rPr>
      </w:pPr>
      <w:r>
        <w:rPr>
          <w:rFonts w:hint="eastAsia" w:ascii="宋体" w:hAnsi="宋体" w:cs="宋体"/>
          <w:sz w:val="24"/>
        </w:rPr>
        <w:t>3.1交货时间：自合同签订之日起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个日历日内安装调试完毕，达到验收条件 。</w:t>
      </w:r>
    </w:p>
    <w:p>
      <w:pPr>
        <w:spacing w:line="360" w:lineRule="auto"/>
        <w:ind w:firstLine="480" w:firstLineChars="200"/>
        <w:rPr>
          <w:rFonts w:hint="eastAsia" w:ascii="宋体" w:hAnsi="宋体" w:cs="宋体"/>
          <w:sz w:val="24"/>
        </w:rPr>
      </w:pPr>
      <w:r>
        <w:rPr>
          <w:rFonts w:hint="eastAsia" w:ascii="宋体" w:hAnsi="宋体" w:cs="宋体"/>
          <w:sz w:val="24"/>
        </w:rPr>
        <w:t>3.2交货地点为：陕西中医药大学第二附属医院指定地点。由乙方负责将设备运输至甲方指定的具体位置并安装调试完毕。</w:t>
      </w:r>
    </w:p>
    <w:p>
      <w:pPr>
        <w:spacing w:line="360" w:lineRule="auto"/>
        <w:ind w:firstLine="480" w:firstLineChars="200"/>
        <w:rPr>
          <w:rFonts w:hint="eastAsia" w:ascii="宋体" w:hAnsi="宋体" w:cs="宋体"/>
          <w:sz w:val="24"/>
        </w:rPr>
      </w:pPr>
      <w:r>
        <w:rPr>
          <w:rFonts w:hint="eastAsia" w:ascii="宋体" w:hAnsi="宋体" w:cs="宋体"/>
          <w:sz w:val="24"/>
        </w:rPr>
        <w:t>3.3乙方送货上门，提供原厂包装，包装物不回收。运输方式由乙方自行选择，乙方提供的设备包装应符合国家或行业的包装标准，确保其运输、装卸和储存条件相适应，保证甲方收到的事无任何损伤的货物，否则乙方承担货物交付前的一切费用及风险。供货车辆在进出场过程中发生的一切交通安全事故由乙方承担，在甲方施工现场以外因违章、禁行等原因而产生的罚款均由乙方承担。</w:t>
      </w:r>
    </w:p>
    <w:p>
      <w:pPr>
        <w:spacing w:line="360" w:lineRule="auto"/>
        <w:ind w:firstLine="480" w:firstLineChars="200"/>
        <w:rPr>
          <w:rFonts w:hint="eastAsia" w:ascii="宋体" w:hAnsi="宋体" w:cs="宋体"/>
          <w:sz w:val="24"/>
        </w:rPr>
      </w:pPr>
      <w:r>
        <w:rPr>
          <w:rFonts w:hint="eastAsia" w:ascii="宋体" w:hAnsi="宋体" w:cs="宋体"/>
          <w:sz w:val="24"/>
        </w:rPr>
        <w:t>3.4运输费用及装卸费用已包含在合同价款中，由乙方负责运输装卸并承担费用。</w:t>
      </w:r>
    </w:p>
    <w:p>
      <w:pPr>
        <w:spacing w:line="360" w:lineRule="auto"/>
        <w:ind w:firstLine="480" w:firstLineChars="200"/>
        <w:rPr>
          <w:rFonts w:hint="eastAsia" w:ascii="宋体" w:hAnsi="宋体" w:cs="宋体"/>
          <w:sz w:val="24"/>
        </w:rPr>
      </w:pPr>
      <w:r>
        <w:rPr>
          <w:rFonts w:hint="eastAsia" w:ascii="宋体" w:hAnsi="宋体" w:cs="宋体"/>
          <w:sz w:val="24"/>
        </w:rPr>
        <w:t>3.5标的物所有权自</w:t>
      </w:r>
      <w:r>
        <w:rPr>
          <w:rFonts w:hint="eastAsia" w:ascii="宋体" w:hAnsi="宋体" w:cs="宋体"/>
          <w:sz w:val="24"/>
          <w:u w:val="single"/>
        </w:rPr>
        <w:t xml:space="preserve"> 交货 </w:t>
      </w:r>
      <w:r>
        <w:rPr>
          <w:rFonts w:hint="eastAsia" w:ascii="宋体" w:hAnsi="宋体" w:cs="宋体"/>
          <w:sz w:val="24"/>
        </w:rPr>
        <w:t>时起转移。</w:t>
      </w:r>
    </w:p>
    <w:p>
      <w:pPr>
        <w:spacing w:line="360" w:lineRule="auto"/>
        <w:ind w:firstLine="480" w:firstLineChars="200"/>
        <w:rPr>
          <w:rFonts w:hint="eastAsia" w:ascii="宋体" w:hAnsi="宋体" w:cs="宋体"/>
          <w:b/>
          <w:bCs/>
          <w:sz w:val="24"/>
        </w:rPr>
      </w:pPr>
      <w:r>
        <w:rPr>
          <w:rFonts w:hint="eastAsia" w:ascii="宋体" w:hAnsi="宋体" w:cs="宋体"/>
          <w:b/>
          <w:bCs/>
          <w:sz w:val="24"/>
        </w:rPr>
        <w:t>第四条</w:t>
      </w:r>
      <w:r>
        <w:rPr>
          <w:rFonts w:hint="eastAsia" w:ascii="宋体" w:hAnsi="宋体" w:cs="宋体"/>
          <w:b/>
          <w:bCs/>
          <w:sz w:val="24"/>
        </w:rPr>
        <w:tab/>
      </w:r>
      <w:r>
        <w:rPr>
          <w:rFonts w:hint="eastAsia" w:ascii="宋体" w:hAnsi="宋体" w:cs="宋体"/>
          <w:b/>
          <w:bCs/>
          <w:sz w:val="24"/>
        </w:rPr>
        <w:t>设备安装、调试与验收</w:t>
      </w:r>
    </w:p>
    <w:p>
      <w:pPr>
        <w:spacing w:line="360" w:lineRule="auto"/>
        <w:ind w:firstLine="480" w:firstLineChars="200"/>
        <w:rPr>
          <w:rFonts w:hint="eastAsia" w:ascii="宋体" w:hAnsi="宋体" w:cs="宋体"/>
          <w:sz w:val="24"/>
        </w:rPr>
      </w:pPr>
      <w:r>
        <w:rPr>
          <w:rFonts w:hint="eastAsia" w:ascii="宋体" w:hAnsi="宋体" w:cs="宋体"/>
          <w:sz w:val="24"/>
        </w:rPr>
        <w:t>4.1甲乙双方共同对设备（包括合同约定的附件等）数量及外观质量进行到场验收。到场验收完成后，乙方应在</w:t>
      </w:r>
      <w:r>
        <w:rPr>
          <w:rFonts w:hint="eastAsia" w:ascii="宋体" w:hAnsi="宋体" w:cs="宋体"/>
          <w:sz w:val="24"/>
          <w:u w:val="single"/>
        </w:rPr>
        <w:t>5个工作日</w:t>
      </w:r>
      <w:r>
        <w:rPr>
          <w:rFonts w:hint="eastAsia" w:ascii="宋体" w:hAnsi="宋体" w:cs="宋体"/>
          <w:sz w:val="24"/>
        </w:rPr>
        <w:t>内组织其安装技术人员对其设备进行调试安装、通电测试服务、保证设备正常运行，并提交相关安装实施报告。</w:t>
      </w:r>
    </w:p>
    <w:p>
      <w:pPr>
        <w:spacing w:line="360" w:lineRule="auto"/>
        <w:ind w:firstLine="480" w:firstLineChars="200"/>
        <w:rPr>
          <w:rFonts w:hint="eastAsia" w:ascii="宋体" w:hAnsi="宋体" w:cs="宋体"/>
          <w:sz w:val="24"/>
        </w:rPr>
      </w:pPr>
      <w:r>
        <w:rPr>
          <w:rFonts w:hint="eastAsia" w:ascii="宋体" w:hAnsi="宋体" w:cs="宋体"/>
          <w:sz w:val="24"/>
        </w:rPr>
        <w:t>4.2安装调试过程中，因部分或全部设备内在损害、确实未达到合同或甲方技术要求的，乙方应按甲方要求免费补全、更换或退货。</w:t>
      </w:r>
    </w:p>
    <w:p>
      <w:pPr>
        <w:spacing w:line="360" w:lineRule="auto"/>
        <w:ind w:firstLine="480" w:firstLineChars="200"/>
        <w:rPr>
          <w:rFonts w:hint="eastAsia" w:ascii="宋体" w:hAnsi="宋体" w:cs="宋体"/>
          <w:sz w:val="24"/>
        </w:rPr>
      </w:pPr>
      <w:r>
        <w:rPr>
          <w:rFonts w:hint="eastAsia" w:ascii="宋体" w:hAnsi="宋体" w:cs="宋体"/>
          <w:sz w:val="24"/>
        </w:rPr>
        <w:t>4.3乙方应配备具有执业资格的专业技术人员进行安装调试，完成后乙方方可申请验收。</w:t>
      </w:r>
      <w:r>
        <w:rPr>
          <w:rFonts w:hint="eastAsia" w:ascii="宋体" w:hAnsi="宋体" w:cs="宋体"/>
          <w:kern w:val="28"/>
          <w:sz w:val="24"/>
        </w:rPr>
        <w:t>验收的三个关键环节：</w:t>
      </w:r>
    </w:p>
    <w:p>
      <w:pPr>
        <w:spacing w:line="480" w:lineRule="exact"/>
        <w:ind w:firstLine="480" w:firstLineChars="200"/>
        <w:rPr>
          <w:rFonts w:hint="eastAsia" w:ascii="宋体" w:hAnsi="宋体" w:cs="宋体"/>
          <w:kern w:val="28"/>
          <w:sz w:val="24"/>
        </w:rPr>
      </w:pPr>
      <w:r>
        <w:rPr>
          <w:rFonts w:hint="eastAsia" w:ascii="宋体" w:hAnsi="宋体" w:cs="宋体"/>
          <w:kern w:val="28"/>
          <w:sz w:val="24"/>
        </w:rPr>
        <w:t>（1）设备验收</w:t>
      </w:r>
    </w:p>
    <w:p>
      <w:pPr>
        <w:spacing w:line="480" w:lineRule="exact"/>
        <w:ind w:firstLine="480" w:firstLineChars="200"/>
        <w:rPr>
          <w:rFonts w:hint="eastAsia" w:ascii="宋体" w:hAnsi="宋体" w:cs="宋体"/>
          <w:kern w:val="28"/>
          <w:sz w:val="24"/>
        </w:rPr>
      </w:pPr>
      <w:r>
        <w:rPr>
          <w:rFonts w:hint="eastAsia" w:ascii="宋体" w:hAnsi="宋体" w:cs="宋体"/>
          <w:kern w:val="28"/>
          <w:sz w:val="24"/>
        </w:rPr>
        <w:t>乙方负责将设备运至现场后，甲方根据投标文件中约定硬件设备清单和实际运抵的设备进行逐一核对、清点并确认收货。经双方共同确认后，双方代表应于当日内签字确认。</w:t>
      </w:r>
    </w:p>
    <w:p>
      <w:pPr>
        <w:spacing w:line="480" w:lineRule="exact"/>
        <w:ind w:firstLine="480" w:firstLineChars="200"/>
        <w:rPr>
          <w:rFonts w:hint="eastAsia" w:ascii="宋体" w:hAnsi="宋体" w:cs="宋体"/>
          <w:kern w:val="28"/>
          <w:sz w:val="24"/>
        </w:rPr>
      </w:pPr>
      <w:r>
        <w:rPr>
          <w:rFonts w:hint="eastAsia" w:ascii="宋体" w:hAnsi="宋体" w:cs="宋体"/>
          <w:kern w:val="28"/>
          <w:sz w:val="24"/>
        </w:rPr>
        <w:t>（2）项目验收：乙方安装调试合格后，且对甲方进行必要的培训和服务后，向甲方提出验收申请，甲方接到验收申请后组织验收（必要时可聘请相应专家或委托相应部门验收），验收合格后，出具使用验收合格证明。</w:t>
      </w:r>
    </w:p>
    <w:p>
      <w:pPr>
        <w:spacing w:line="480" w:lineRule="exact"/>
        <w:ind w:firstLine="480" w:firstLineChars="200"/>
        <w:rPr>
          <w:rFonts w:hint="eastAsia" w:ascii="宋体" w:hAnsi="宋体" w:cs="宋体"/>
          <w:kern w:val="28"/>
          <w:sz w:val="24"/>
        </w:rPr>
      </w:pPr>
      <w:r>
        <w:rPr>
          <w:rFonts w:hint="eastAsia" w:ascii="宋体" w:hAnsi="宋体" w:cs="宋体"/>
          <w:kern w:val="28"/>
          <w:sz w:val="24"/>
        </w:rPr>
        <w:t>（3）验收依据：合同文本、合同附件、招标文件、投标文件；国内相应的标准、规范。验收时应提供的技术资料</w:t>
      </w:r>
    </w:p>
    <w:p>
      <w:pPr>
        <w:spacing w:line="480" w:lineRule="exact"/>
        <w:ind w:firstLine="480" w:firstLineChars="200"/>
        <w:rPr>
          <w:rFonts w:hint="eastAsia" w:ascii="宋体" w:hAnsi="宋体" w:cs="宋体"/>
          <w:kern w:val="28"/>
          <w:sz w:val="24"/>
        </w:rPr>
      </w:pPr>
      <w:r>
        <w:rPr>
          <w:rFonts w:hint="eastAsia" w:ascii="宋体" w:hAnsi="宋体" w:cs="宋体"/>
          <w:kern w:val="28"/>
          <w:sz w:val="24"/>
        </w:rPr>
        <w:t>（4）验收不合格的产品，乙方需在7个工作日内补充、更换，保证产品正常使用，保证设备运行，无安全隐患和明显的潜在风险。如接到通知后7个日历日内未保证货物运行正常，则终止其供货合同，并赔偿甲方的损失。</w:t>
      </w:r>
    </w:p>
    <w:p>
      <w:pPr>
        <w:spacing w:line="360" w:lineRule="auto"/>
        <w:ind w:firstLine="480" w:firstLineChars="200"/>
        <w:rPr>
          <w:rFonts w:hint="eastAsia" w:ascii="宋体" w:hAnsi="宋体" w:cs="宋体"/>
          <w:sz w:val="24"/>
        </w:rPr>
      </w:pPr>
      <w:r>
        <w:rPr>
          <w:rFonts w:hint="eastAsia" w:ascii="宋体" w:hAnsi="宋体" w:cs="宋体"/>
          <w:sz w:val="24"/>
        </w:rPr>
        <w:t>4.4甲方对设备如有异议，货到甲方一个月内向乙方书面提出，但乙方所供产品存在品质瑕疵除外，乙方对甲方异议必须提供合理的书面解释。</w:t>
      </w:r>
    </w:p>
    <w:p>
      <w:pPr>
        <w:spacing w:line="360" w:lineRule="auto"/>
        <w:ind w:firstLine="480" w:firstLineChars="200"/>
        <w:rPr>
          <w:rFonts w:hint="eastAsia" w:ascii="宋体" w:hAnsi="宋体" w:cs="宋体"/>
          <w:sz w:val="24"/>
        </w:rPr>
      </w:pPr>
      <w:r>
        <w:rPr>
          <w:rFonts w:hint="eastAsia" w:ascii="宋体" w:hAnsi="宋体" w:cs="宋体"/>
          <w:sz w:val="24"/>
        </w:rPr>
        <w:t>4.5如设备进场后，需要进行第三方检测、检验（试验）的，相关费用由乙方承担。检测、检验（试验）或货物验收不合格的，视为设备交付未完成。并由乙方承担迟延交货的违约责任。</w:t>
      </w:r>
    </w:p>
    <w:p>
      <w:pPr>
        <w:spacing w:line="360" w:lineRule="auto"/>
        <w:ind w:firstLine="480" w:firstLineChars="200"/>
        <w:rPr>
          <w:rFonts w:hint="eastAsia" w:ascii="宋体" w:hAnsi="宋体" w:cs="宋体"/>
          <w:sz w:val="24"/>
        </w:rPr>
      </w:pPr>
      <w:r>
        <w:rPr>
          <w:rFonts w:hint="eastAsia" w:ascii="宋体" w:hAnsi="宋体" w:cs="宋体"/>
          <w:sz w:val="24"/>
        </w:rPr>
        <w:t>4.6甲方依照法律规定或合同约定退货的，由乙方自行运离。如乙方在</w:t>
      </w:r>
      <w:r>
        <w:rPr>
          <w:rFonts w:hint="eastAsia" w:ascii="宋体" w:hAnsi="宋体" w:cs="宋体"/>
          <w:sz w:val="24"/>
          <w:u w:val="single"/>
        </w:rPr>
        <w:t>15</w:t>
      </w:r>
      <w:r>
        <w:rPr>
          <w:rFonts w:hint="eastAsia" w:ascii="宋体" w:hAnsi="宋体" w:cs="宋体"/>
          <w:sz w:val="24"/>
        </w:rPr>
        <w:t>日内不取回设备，视为乙方放弃设备所有权。甲方可在无需支付货款的条件下处置该设备，处置费用由乙方承担。</w:t>
      </w:r>
    </w:p>
    <w:p>
      <w:pPr>
        <w:spacing w:line="360" w:lineRule="auto"/>
        <w:ind w:firstLine="480" w:firstLineChars="200"/>
        <w:rPr>
          <w:rFonts w:hint="eastAsia" w:ascii="宋体" w:hAnsi="宋体" w:cs="宋体"/>
          <w:b/>
          <w:bCs/>
          <w:sz w:val="24"/>
        </w:rPr>
      </w:pPr>
      <w:r>
        <w:rPr>
          <w:rFonts w:hint="eastAsia" w:ascii="宋体" w:hAnsi="宋体" w:cs="宋体"/>
          <w:b/>
          <w:bCs/>
          <w:sz w:val="24"/>
        </w:rPr>
        <w:t>第五条</w:t>
      </w:r>
      <w:r>
        <w:rPr>
          <w:rFonts w:hint="eastAsia" w:ascii="宋体" w:hAnsi="宋体" w:cs="宋体"/>
          <w:b/>
          <w:bCs/>
          <w:sz w:val="24"/>
        </w:rPr>
        <w:tab/>
      </w:r>
      <w:r>
        <w:rPr>
          <w:rFonts w:hint="eastAsia" w:ascii="宋体" w:hAnsi="宋体" w:cs="宋体"/>
          <w:b/>
          <w:bCs/>
          <w:sz w:val="24"/>
        </w:rPr>
        <w:t>有关设备要求的其他约定</w:t>
      </w:r>
    </w:p>
    <w:p>
      <w:pPr>
        <w:spacing w:line="360" w:lineRule="auto"/>
        <w:ind w:firstLine="480" w:firstLineChars="200"/>
        <w:rPr>
          <w:rFonts w:hint="eastAsia" w:ascii="宋体" w:hAnsi="宋体" w:cs="宋体"/>
          <w:sz w:val="24"/>
        </w:rPr>
      </w:pPr>
      <w:r>
        <w:rPr>
          <w:rFonts w:hint="eastAsia" w:ascii="宋体" w:hAnsi="宋体" w:cs="宋体"/>
          <w:sz w:val="24"/>
        </w:rPr>
        <w:t>5.1乙方免费为甲方培训设备使用人员，培训内容包括设备的操作、维护等，使用户达到独立操作水平。乙方应向甲方出具该设备安装、运行、使用、测试、诊断和维修的技术文档，提供所购设备的安装指南及用户手册。针对设备涉及的特殊技术，使用及维护应注意的关键问题向甲方人员进行书面技术交底或培训。</w:t>
      </w:r>
    </w:p>
    <w:p>
      <w:pPr>
        <w:spacing w:line="360" w:lineRule="auto"/>
        <w:ind w:firstLine="480" w:firstLineChars="200"/>
        <w:rPr>
          <w:rFonts w:hint="eastAsia" w:ascii="宋体" w:hAnsi="宋体" w:cs="宋体"/>
          <w:sz w:val="24"/>
        </w:rPr>
      </w:pPr>
      <w:r>
        <w:rPr>
          <w:rFonts w:hint="eastAsia" w:ascii="宋体" w:hAnsi="宋体" w:cs="宋体"/>
          <w:sz w:val="24"/>
        </w:rPr>
        <w:t>5.2设备调试由乙方负责完成，相应检测、调试的工具、仪器由乙方提供，相关费用已含在合同价款中。</w:t>
      </w:r>
    </w:p>
    <w:p>
      <w:pPr>
        <w:spacing w:line="360" w:lineRule="auto"/>
        <w:ind w:firstLine="480" w:firstLineChars="200"/>
        <w:rPr>
          <w:rFonts w:hint="eastAsia" w:ascii="宋体" w:hAnsi="宋体" w:cs="宋体"/>
          <w:sz w:val="24"/>
        </w:rPr>
      </w:pPr>
      <w:r>
        <w:rPr>
          <w:rFonts w:hint="eastAsia" w:ascii="宋体" w:hAnsi="宋体" w:cs="宋体"/>
          <w:sz w:val="24"/>
        </w:rPr>
        <w:t>5.3乙方应保证其提供的设备系其合法所得的合法产品。设备质量符合本合同约定及国家强制性要求，且设备不存在知识产权纠纷。如设备涉及知识产权，乙方应提供权利人出具的允许生产、销售的完整、有效的授权文件，否则应承担相应的违约责任。</w:t>
      </w:r>
    </w:p>
    <w:p>
      <w:pPr>
        <w:spacing w:line="360" w:lineRule="auto"/>
        <w:ind w:firstLine="480" w:firstLineChars="200"/>
        <w:rPr>
          <w:rFonts w:hint="eastAsia" w:ascii="宋体" w:hAnsi="宋体" w:cs="宋体"/>
          <w:sz w:val="24"/>
        </w:rPr>
      </w:pPr>
      <w:r>
        <w:rPr>
          <w:rFonts w:hint="eastAsia" w:ascii="宋体" w:hAnsi="宋体" w:cs="宋体"/>
          <w:sz w:val="24"/>
        </w:rPr>
        <w:t>5.4甲方确保乙方运输车辆进出场畅通。乙方人员及车辆进入甲方安装现场，需遵守甲方安装现场安全管理的有关规定。乙方应提前做好相应的安全防护措施，如因乙方原因发生安全事故，由乙方承担责任；如因第三方原因发生安全事故，由第三方承担责任，甲方不负责赔偿责任。乙方车辆进入甲方现场，还应服从甲方关于保持现场环境卫生的管理规定，尽量减少噪音和粉尘。车辆进入甲方现场后如有泥浆、渣土等污物应清洗后退场。</w:t>
      </w:r>
    </w:p>
    <w:p>
      <w:pPr>
        <w:spacing w:line="360" w:lineRule="auto"/>
        <w:ind w:firstLine="480" w:firstLineChars="200"/>
        <w:rPr>
          <w:rFonts w:hint="eastAsia" w:ascii="宋体" w:hAnsi="宋体" w:cs="宋体"/>
          <w:b/>
          <w:bCs/>
          <w:sz w:val="24"/>
        </w:rPr>
      </w:pPr>
      <w:r>
        <w:rPr>
          <w:rFonts w:hint="eastAsia" w:ascii="宋体" w:hAnsi="宋体" w:cs="宋体"/>
          <w:b/>
          <w:bCs/>
          <w:sz w:val="24"/>
        </w:rPr>
        <w:t>第六条</w:t>
      </w:r>
      <w:r>
        <w:rPr>
          <w:rFonts w:hint="eastAsia" w:ascii="宋体" w:hAnsi="宋体" w:cs="宋体"/>
          <w:b/>
          <w:bCs/>
          <w:sz w:val="24"/>
        </w:rPr>
        <w:tab/>
      </w:r>
      <w:r>
        <w:rPr>
          <w:rFonts w:hint="eastAsia" w:ascii="宋体" w:hAnsi="宋体" w:cs="宋体"/>
          <w:b/>
          <w:bCs/>
          <w:sz w:val="24"/>
        </w:rPr>
        <w:t>保修及售后服务</w:t>
      </w:r>
    </w:p>
    <w:p>
      <w:pPr>
        <w:spacing w:line="360" w:lineRule="auto"/>
        <w:ind w:firstLine="480" w:firstLineChars="200"/>
        <w:rPr>
          <w:rFonts w:hint="eastAsia" w:ascii="宋体" w:hAnsi="宋体" w:eastAsia="宋体" w:cs="宋体"/>
          <w:b/>
          <w:sz w:val="24"/>
          <w:lang w:eastAsia="zh-CN"/>
        </w:rPr>
      </w:pPr>
      <w:r>
        <w:rPr>
          <w:rFonts w:hint="eastAsia" w:ascii="宋体" w:hAnsi="宋体" w:cs="宋体"/>
          <w:b/>
          <w:sz w:val="24"/>
        </w:rPr>
        <w:t>6.1乙方为甲方提供本合同项下设备，包括整机保修</w:t>
      </w:r>
      <w:r>
        <w:rPr>
          <w:rFonts w:hint="eastAsia" w:ascii="宋体" w:hAnsi="宋体" w:cs="宋体"/>
          <w:b/>
          <w:sz w:val="24"/>
          <w:lang w:val="en-US" w:eastAsia="zh-CN"/>
        </w:rPr>
        <w:t xml:space="preserve">    </w:t>
      </w:r>
      <w:r>
        <w:rPr>
          <w:rFonts w:hint="eastAsia" w:ascii="宋体" w:hAnsi="宋体" w:cs="宋体"/>
          <w:b/>
          <w:sz w:val="24"/>
        </w:rPr>
        <w:t>年</w:t>
      </w:r>
      <w:r>
        <w:rPr>
          <w:rFonts w:hint="eastAsia" w:ascii="宋体" w:hAnsi="宋体" w:cs="宋体"/>
          <w:b/>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6.2质保期自甲方验收合格之日起计算（验收合格之日以甲方验收报告为准），质保期内乙方免费上门维修，费用全免。质保期结束后，乙方负责货物的终身维修，甲方如需更换零配件，乙方只能收取零配件的成本费，并由乙方负责更换零配件。</w:t>
      </w:r>
    </w:p>
    <w:p>
      <w:pPr>
        <w:spacing w:line="360" w:lineRule="auto"/>
        <w:ind w:firstLine="480" w:firstLineChars="200"/>
        <w:rPr>
          <w:rFonts w:hint="eastAsia" w:ascii="宋体" w:hAnsi="宋体" w:cs="宋体"/>
          <w:sz w:val="24"/>
        </w:rPr>
      </w:pPr>
      <w:r>
        <w:rPr>
          <w:rFonts w:hint="eastAsia" w:ascii="宋体" w:hAnsi="宋体" w:cs="宋体"/>
          <w:sz w:val="24"/>
        </w:rPr>
        <w:t>6.3质保期内，如采购设备在操作使用、维护保养方面有任何疑问，乙方应提供技术咨询，指导服务，乙方应在接到甲方通知后在</w:t>
      </w:r>
      <w:r>
        <w:rPr>
          <w:rFonts w:hint="eastAsia" w:ascii="宋体" w:hAnsi="宋体" w:cs="宋体"/>
          <w:sz w:val="24"/>
          <w:u w:val="single"/>
        </w:rPr>
        <w:t xml:space="preserve"> 12</w:t>
      </w:r>
      <w:r>
        <w:rPr>
          <w:rFonts w:hint="eastAsia" w:ascii="宋体" w:hAnsi="宋体" w:cs="宋体"/>
          <w:sz w:val="24"/>
        </w:rPr>
        <w:t>小时内做出响应。</w:t>
      </w:r>
    </w:p>
    <w:p>
      <w:pPr>
        <w:spacing w:line="360" w:lineRule="auto"/>
        <w:ind w:firstLine="480" w:firstLineChars="200"/>
        <w:rPr>
          <w:rFonts w:hint="eastAsia" w:ascii="宋体" w:hAnsi="宋体" w:cs="宋体"/>
          <w:sz w:val="24"/>
        </w:rPr>
      </w:pPr>
      <w:r>
        <w:rPr>
          <w:rFonts w:hint="eastAsia" w:ascii="宋体" w:hAnsi="宋体" w:cs="宋体"/>
          <w:sz w:val="24"/>
        </w:rPr>
        <w:t>6.4质保期内，如采购设备出现故障，乙方应在接到甲方通知后</w:t>
      </w:r>
      <w:r>
        <w:rPr>
          <w:rFonts w:hint="eastAsia" w:ascii="宋体" w:hAnsi="宋体" w:cs="宋体"/>
          <w:sz w:val="24"/>
          <w:u w:val="single"/>
        </w:rPr>
        <w:t xml:space="preserve"> 24 </w:t>
      </w:r>
      <w:r>
        <w:rPr>
          <w:rFonts w:hint="eastAsia" w:ascii="宋体" w:hAnsi="宋体" w:cs="宋体"/>
          <w:sz w:val="24"/>
        </w:rPr>
        <w:t xml:space="preserve">小时内派人赶到现场维修并于【 </w:t>
      </w:r>
      <w:r>
        <w:rPr>
          <w:rFonts w:hint="eastAsia" w:ascii="宋体" w:hAnsi="宋体" w:cs="宋体"/>
          <w:sz w:val="24"/>
          <w:lang w:val="en-US" w:eastAsia="zh-CN"/>
        </w:rPr>
        <w:t xml:space="preserve">12 </w:t>
      </w:r>
      <w:r>
        <w:rPr>
          <w:rFonts w:hint="eastAsia" w:ascii="宋体" w:hAnsi="宋体" w:cs="宋体"/>
          <w:sz w:val="24"/>
        </w:rPr>
        <w:t>】小时内排除故障。如属于甲方操作不当，造成甲方承担有关费用；如属于其他原因，乙方承担有关费用。</w:t>
      </w:r>
    </w:p>
    <w:p>
      <w:pPr>
        <w:spacing w:line="360" w:lineRule="auto"/>
        <w:ind w:firstLine="480" w:firstLineChars="200"/>
        <w:rPr>
          <w:rFonts w:hint="eastAsia" w:ascii="宋体" w:hAnsi="宋体" w:cs="宋体"/>
          <w:sz w:val="24"/>
        </w:rPr>
      </w:pPr>
      <w:r>
        <w:rPr>
          <w:rFonts w:hint="eastAsia" w:ascii="宋体" w:hAnsi="宋体" w:cs="宋体"/>
          <w:sz w:val="24"/>
        </w:rPr>
        <w:t>如乙方接到通知后不能及时赶到现场，或不能在合理期限内修复故障，甲方有权聘请其他单位人员进行维修，所有实际发生的一切费用由乙方承担。</w:t>
      </w:r>
    </w:p>
    <w:p>
      <w:pPr>
        <w:spacing w:line="360" w:lineRule="auto"/>
        <w:ind w:firstLine="480" w:firstLineChars="200"/>
        <w:rPr>
          <w:rFonts w:hint="eastAsia" w:ascii="宋体" w:hAnsi="宋体" w:cs="宋体"/>
          <w:sz w:val="24"/>
        </w:rPr>
      </w:pPr>
      <w:r>
        <w:rPr>
          <w:rFonts w:hint="eastAsia" w:ascii="宋体" w:hAnsi="宋体" w:cs="宋体"/>
          <w:sz w:val="24"/>
        </w:rPr>
        <w:t>6.5验收交付后</w:t>
      </w:r>
      <w:r>
        <w:rPr>
          <w:rFonts w:hint="eastAsia" w:ascii="宋体" w:hAnsi="宋体" w:cs="宋体"/>
          <w:sz w:val="24"/>
          <w:u w:val="single"/>
        </w:rPr>
        <w:t xml:space="preserve"> 1 个</w:t>
      </w:r>
      <w:r>
        <w:rPr>
          <w:rFonts w:hint="eastAsia" w:ascii="宋体" w:hAnsi="宋体" w:cs="宋体"/>
          <w:sz w:val="24"/>
        </w:rPr>
        <w:t>月内，采购设备的主要部件出现重大质量问题，或在保修期内出现无法解决的故障，或者维修后将显著降低设备的使用性能，乙方必须无条件免费更换整机（如该款设备存在同样质量隐患，应在保证性能不降低的前提下更换其他款式），否则甲方有权要求乙方按该合同价款的1.2倍赔偿。</w:t>
      </w:r>
    </w:p>
    <w:p>
      <w:pPr>
        <w:spacing w:line="360" w:lineRule="auto"/>
        <w:ind w:firstLine="480" w:firstLineChars="200"/>
        <w:rPr>
          <w:rFonts w:hint="eastAsia" w:ascii="宋体" w:hAnsi="宋体" w:cs="宋体"/>
          <w:b/>
          <w:bCs/>
          <w:sz w:val="24"/>
        </w:rPr>
      </w:pPr>
      <w:r>
        <w:rPr>
          <w:rFonts w:hint="eastAsia" w:ascii="宋体" w:hAnsi="宋体" w:cs="宋体"/>
          <w:b/>
          <w:bCs/>
          <w:sz w:val="24"/>
        </w:rPr>
        <w:t>第七条</w:t>
      </w:r>
      <w:r>
        <w:rPr>
          <w:rFonts w:hint="eastAsia" w:ascii="宋体" w:hAnsi="宋体" w:cs="宋体"/>
          <w:b/>
          <w:bCs/>
          <w:sz w:val="24"/>
        </w:rPr>
        <w:tab/>
      </w:r>
      <w:r>
        <w:rPr>
          <w:rFonts w:hint="eastAsia" w:ascii="宋体" w:hAnsi="宋体" w:cs="宋体"/>
          <w:b/>
          <w:bCs/>
          <w:sz w:val="24"/>
        </w:rPr>
        <w:t>合同价款的支付方式</w:t>
      </w:r>
    </w:p>
    <w:p>
      <w:pPr>
        <w:spacing w:line="360" w:lineRule="auto"/>
        <w:ind w:firstLine="480" w:firstLineChars="200"/>
        <w:rPr>
          <w:rFonts w:hint="eastAsia" w:ascii="宋体" w:hAnsi="宋体" w:cs="宋体"/>
          <w:sz w:val="24"/>
        </w:rPr>
      </w:pPr>
      <w:r>
        <w:rPr>
          <w:rFonts w:hint="eastAsia" w:ascii="宋体" w:hAnsi="宋体" w:cs="宋体"/>
          <w:sz w:val="24"/>
        </w:rPr>
        <w:t>7.1付款方式：交货安装调试完成验收合格后支付合同总价款的95%；留合同总价的5%作为质保金 ，自项目验收合格并移交甲方之日起开始计算，满12个月后无质量问题一次付清（质保金不计利息）。</w:t>
      </w:r>
    </w:p>
    <w:p>
      <w:pPr>
        <w:spacing w:line="360" w:lineRule="auto"/>
        <w:ind w:firstLine="480" w:firstLineChars="200"/>
        <w:rPr>
          <w:rFonts w:hint="eastAsia" w:ascii="宋体" w:hAnsi="宋体" w:cs="宋体"/>
          <w:sz w:val="24"/>
        </w:rPr>
      </w:pPr>
      <w:r>
        <w:rPr>
          <w:rFonts w:hint="eastAsia" w:ascii="宋体" w:hAnsi="宋体" w:cs="宋体"/>
          <w:sz w:val="24"/>
        </w:rPr>
        <w:t>7.2在甲方向乙方支付款项前，按双方确认的当期结算金额，乙方应向甲方提供足额正规的发票及所需资料已备甲方查验，否则甲方有权不予付款或顺延付款时间。</w:t>
      </w:r>
    </w:p>
    <w:p>
      <w:pPr>
        <w:spacing w:line="360" w:lineRule="auto"/>
        <w:ind w:firstLine="480" w:firstLineChars="200"/>
        <w:rPr>
          <w:rFonts w:hint="eastAsia" w:ascii="宋体" w:hAnsi="宋体" w:cs="宋体"/>
          <w:sz w:val="24"/>
        </w:rPr>
      </w:pPr>
      <w:r>
        <w:rPr>
          <w:rFonts w:hint="eastAsia" w:ascii="宋体" w:hAnsi="宋体" w:cs="宋体"/>
          <w:sz w:val="24"/>
        </w:rPr>
        <w:t>7.3乙方应提供已发出的设备的出库凭证及相应的物流运输信息，运输过程中的发货单及收货单只作为设备外观、数量、质量验收凭证，最终结算付款须凭甲方签字盖章的验收合格报告。</w:t>
      </w:r>
    </w:p>
    <w:p>
      <w:pPr>
        <w:spacing w:line="360" w:lineRule="auto"/>
        <w:ind w:firstLine="480" w:firstLineChars="200"/>
        <w:rPr>
          <w:rFonts w:hint="eastAsia" w:ascii="宋体" w:hAnsi="宋体" w:cs="宋体"/>
          <w:b/>
          <w:bCs/>
          <w:sz w:val="24"/>
        </w:rPr>
      </w:pPr>
      <w:r>
        <w:rPr>
          <w:rFonts w:hint="eastAsia" w:ascii="宋体" w:hAnsi="宋体" w:cs="宋体"/>
          <w:b/>
          <w:bCs/>
          <w:sz w:val="24"/>
        </w:rPr>
        <w:t>第八条</w:t>
      </w:r>
      <w:r>
        <w:rPr>
          <w:rFonts w:hint="eastAsia" w:ascii="宋体" w:hAnsi="宋体" w:cs="宋体"/>
          <w:b/>
          <w:bCs/>
          <w:sz w:val="24"/>
        </w:rPr>
        <w:tab/>
      </w:r>
      <w:r>
        <w:rPr>
          <w:rFonts w:hint="eastAsia" w:ascii="宋体" w:hAnsi="宋体" w:cs="宋体"/>
          <w:b/>
          <w:bCs/>
          <w:sz w:val="24"/>
        </w:rPr>
        <w:t>违约责任、合同的解除</w:t>
      </w:r>
    </w:p>
    <w:p>
      <w:pPr>
        <w:spacing w:line="360" w:lineRule="auto"/>
        <w:ind w:firstLine="480" w:firstLineChars="200"/>
        <w:rPr>
          <w:rFonts w:hint="eastAsia" w:ascii="宋体" w:hAnsi="宋体" w:cs="宋体"/>
          <w:sz w:val="24"/>
        </w:rPr>
      </w:pPr>
      <w:r>
        <w:rPr>
          <w:rFonts w:hint="eastAsia" w:ascii="宋体" w:hAnsi="宋体" w:cs="宋体"/>
          <w:sz w:val="24"/>
        </w:rPr>
        <w:t>8.1乙方未按合同约定的时间履行其交货义务（包括安装、调试、检测等义务，如合同有此约定）的违约责任，每延误一日按合同价款0.1%向甲方承担迟延违约金，甲方有权从合同款中予以扣除。乙方累计延迟交货</w:t>
      </w:r>
      <w:r>
        <w:rPr>
          <w:rFonts w:hint="eastAsia" w:ascii="宋体" w:hAnsi="宋体" w:cs="宋体"/>
          <w:sz w:val="24"/>
          <w:u w:val="single"/>
        </w:rPr>
        <w:t xml:space="preserve"> 10</w:t>
      </w:r>
      <w:r>
        <w:rPr>
          <w:rFonts w:hint="eastAsia" w:ascii="宋体" w:hAnsi="宋体" w:cs="宋体"/>
          <w:sz w:val="24"/>
        </w:rPr>
        <w:t>个工作日，甲方有权单方解除本合同，并要求乙方承担本合同金额20%的损失赔偿金，乙方应承担由此给甲方造成的全部损失。</w:t>
      </w:r>
    </w:p>
    <w:p>
      <w:pPr>
        <w:spacing w:line="360" w:lineRule="auto"/>
        <w:ind w:firstLine="480" w:firstLineChars="200"/>
        <w:rPr>
          <w:rFonts w:hint="eastAsia" w:ascii="宋体" w:hAnsi="宋体" w:cs="宋体"/>
          <w:sz w:val="24"/>
        </w:rPr>
      </w:pPr>
      <w:r>
        <w:rPr>
          <w:rFonts w:hint="eastAsia" w:ascii="宋体" w:hAnsi="宋体" w:cs="宋体"/>
          <w:sz w:val="24"/>
        </w:rPr>
        <w:t>8.2因乙方违约导致甲方涉诉，乙方除应向甲方承担本合同约定的违约金、损失赔偿金之外，还应承担甲方为此支付的一切费用，包括但不限于律师费、诉讼费等，甲方有权从合同款中予以扣除。</w:t>
      </w:r>
    </w:p>
    <w:p>
      <w:pPr>
        <w:spacing w:line="360" w:lineRule="auto"/>
        <w:ind w:firstLine="480" w:firstLineChars="200"/>
        <w:rPr>
          <w:rFonts w:hint="eastAsia" w:ascii="宋体" w:hAnsi="宋体" w:cs="宋体"/>
          <w:sz w:val="24"/>
        </w:rPr>
      </w:pPr>
      <w:r>
        <w:rPr>
          <w:rFonts w:hint="eastAsia" w:ascii="宋体" w:hAnsi="宋体" w:cs="宋体"/>
          <w:sz w:val="24"/>
        </w:rPr>
        <w:t>8.3本合同5.3条，若乙方所供设备涉及到知识产权纠纷，乙方应承担的违约责任：乙方应全部赔偿，包括甲方因此承担的赔偿款、处理纠纷所支出的各项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pPr>
        <w:spacing w:line="360" w:lineRule="auto"/>
        <w:ind w:firstLine="480" w:firstLineChars="200"/>
        <w:rPr>
          <w:rFonts w:hint="eastAsia" w:ascii="宋体" w:hAnsi="宋体" w:cs="宋体"/>
          <w:sz w:val="24"/>
        </w:rPr>
      </w:pPr>
      <w:r>
        <w:rPr>
          <w:rFonts w:hint="eastAsia" w:ascii="宋体" w:hAnsi="宋体" w:cs="宋体"/>
          <w:sz w:val="24"/>
        </w:rPr>
        <w:t>8.4乙方向甲方提供虚假、不合法的增值税发票，应承担违约责任：乙方应承担因其提供虚假增值税发票给甲方造成经济损失并承担相应的法律责任，但不免除其继续提供合法票据的义务。</w:t>
      </w:r>
    </w:p>
    <w:p>
      <w:pPr>
        <w:spacing w:line="360" w:lineRule="auto"/>
        <w:ind w:firstLine="480" w:firstLineChars="200"/>
        <w:rPr>
          <w:rFonts w:hint="eastAsia" w:ascii="宋体" w:hAnsi="宋体" w:cs="宋体"/>
          <w:sz w:val="24"/>
        </w:rPr>
      </w:pPr>
      <w:r>
        <w:rPr>
          <w:rFonts w:hint="eastAsia" w:ascii="宋体" w:hAnsi="宋体" w:cs="宋体"/>
          <w:sz w:val="24"/>
        </w:rPr>
        <w:t>8.5乙方原因不能及时提供增值税发票，造成甲方不能抵扣，乙方应承担的违约责任；乙方应承担甲方不能抵扣税金两倍的违约金，但不免除其继续提供合法票据的义务。</w:t>
      </w:r>
    </w:p>
    <w:p>
      <w:pPr>
        <w:spacing w:line="360" w:lineRule="auto"/>
        <w:ind w:firstLine="480" w:firstLineChars="200"/>
        <w:rPr>
          <w:rFonts w:hint="eastAsia" w:ascii="宋体" w:hAnsi="宋体" w:cs="宋体"/>
          <w:sz w:val="24"/>
        </w:rPr>
      </w:pPr>
      <w:r>
        <w:rPr>
          <w:rFonts w:hint="eastAsia" w:ascii="宋体" w:hAnsi="宋体" w:cs="宋体"/>
          <w:sz w:val="24"/>
        </w:rPr>
        <w:t>8.6涉及到设备因质量问题退货或价格变化等行为，如涉及开具增值税专用发票需要更换的，乙方有义务协助。</w:t>
      </w:r>
    </w:p>
    <w:p>
      <w:pPr>
        <w:spacing w:line="360" w:lineRule="auto"/>
        <w:ind w:firstLine="480" w:firstLineChars="200"/>
        <w:rPr>
          <w:rFonts w:hint="eastAsia" w:ascii="宋体" w:hAnsi="宋体" w:cs="宋体"/>
          <w:b/>
          <w:bCs/>
          <w:sz w:val="24"/>
        </w:rPr>
      </w:pPr>
      <w:r>
        <w:rPr>
          <w:rFonts w:hint="eastAsia" w:ascii="宋体" w:hAnsi="宋体" w:cs="宋体"/>
          <w:b/>
          <w:bCs/>
          <w:sz w:val="24"/>
        </w:rPr>
        <w:t>第九条</w:t>
      </w:r>
      <w:r>
        <w:rPr>
          <w:rFonts w:hint="eastAsia" w:ascii="宋体" w:hAnsi="宋体" w:cs="宋体"/>
          <w:b/>
          <w:bCs/>
          <w:sz w:val="24"/>
        </w:rPr>
        <w:tab/>
      </w:r>
      <w:r>
        <w:rPr>
          <w:rFonts w:hint="eastAsia" w:ascii="宋体" w:hAnsi="宋体" w:cs="宋体"/>
          <w:b/>
          <w:bCs/>
          <w:sz w:val="24"/>
        </w:rPr>
        <w:t>不可抗力</w:t>
      </w:r>
    </w:p>
    <w:p>
      <w:pPr>
        <w:spacing w:line="360" w:lineRule="auto"/>
        <w:ind w:firstLine="480" w:firstLineChars="200"/>
        <w:rPr>
          <w:rFonts w:hint="eastAsia" w:ascii="宋体" w:hAnsi="宋体" w:cs="宋体"/>
          <w:sz w:val="24"/>
        </w:rPr>
      </w:pPr>
      <w:r>
        <w:rPr>
          <w:rFonts w:hint="eastAsia" w:ascii="宋体" w:hAnsi="宋体" w:cs="宋体"/>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spacing w:line="360" w:lineRule="auto"/>
        <w:ind w:firstLine="480" w:firstLineChars="200"/>
        <w:rPr>
          <w:rFonts w:hint="eastAsia" w:ascii="宋体" w:hAnsi="宋体" w:cs="宋体"/>
          <w:b/>
          <w:bCs/>
          <w:sz w:val="24"/>
        </w:rPr>
      </w:pPr>
      <w:r>
        <w:rPr>
          <w:rFonts w:hint="eastAsia" w:ascii="宋体" w:hAnsi="宋体" w:cs="宋体"/>
          <w:b/>
          <w:bCs/>
          <w:sz w:val="24"/>
        </w:rPr>
        <w:t>第十条  争议解决</w:t>
      </w:r>
    </w:p>
    <w:p>
      <w:pPr>
        <w:spacing w:line="360" w:lineRule="auto"/>
        <w:ind w:firstLine="480" w:firstLineChars="200"/>
        <w:rPr>
          <w:rFonts w:hint="eastAsia" w:ascii="宋体" w:hAnsi="宋体" w:cs="宋体"/>
          <w:sz w:val="24"/>
        </w:rPr>
      </w:pPr>
      <w:r>
        <w:rPr>
          <w:rFonts w:hint="eastAsia" w:ascii="宋体" w:hAnsi="宋体" w:cs="宋体"/>
          <w:sz w:val="24"/>
        </w:rPr>
        <w:t>本合同在履行过程中发生的任何争议，应由甲、乙双方友好协商解决，协商不成的，甲乙双方任意一方有权向甲方所在地人民法院提起诉讼。</w:t>
      </w:r>
    </w:p>
    <w:p>
      <w:pPr>
        <w:spacing w:line="360" w:lineRule="auto"/>
        <w:ind w:firstLine="480" w:firstLineChars="200"/>
        <w:rPr>
          <w:rFonts w:hint="eastAsia" w:ascii="宋体" w:hAnsi="宋体" w:cs="宋体"/>
          <w:sz w:val="24"/>
        </w:rPr>
      </w:pPr>
      <w:r>
        <w:rPr>
          <w:rFonts w:hint="eastAsia" w:ascii="宋体" w:hAnsi="宋体" w:cs="宋体"/>
          <w:b/>
          <w:bCs/>
          <w:sz w:val="24"/>
        </w:rPr>
        <w:t>第十一条：以下资料为本合同不可分割部分，与本合同具有同等法律效力</w:t>
      </w:r>
    </w:p>
    <w:p>
      <w:pPr>
        <w:spacing w:line="360" w:lineRule="auto"/>
        <w:ind w:firstLine="480" w:firstLineChars="200"/>
        <w:rPr>
          <w:rFonts w:hint="eastAsia" w:ascii="宋体" w:hAnsi="宋体" w:cs="宋体"/>
          <w:sz w:val="24"/>
        </w:rPr>
      </w:pPr>
      <w:r>
        <w:rPr>
          <w:rFonts w:hint="eastAsia" w:ascii="宋体" w:hAnsi="宋体" w:cs="宋体"/>
          <w:sz w:val="24"/>
        </w:rPr>
        <w:t>1、招标文件；</w:t>
      </w:r>
    </w:p>
    <w:p>
      <w:pPr>
        <w:spacing w:line="360" w:lineRule="auto"/>
        <w:ind w:firstLine="480" w:firstLineChars="200"/>
        <w:rPr>
          <w:rFonts w:hint="eastAsia" w:ascii="宋体" w:hAnsi="宋体" w:cs="宋体"/>
          <w:sz w:val="24"/>
        </w:rPr>
      </w:pPr>
      <w:r>
        <w:rPr>
          <w:rFonts w:hint="eastAsia" w:ascii="宋体" w:hAnsi="宋体" w:cs="宋体"/>
          <w:sz w:val="24"/>
        </w:rPr>
        <w:t>2、投标文件；</w:t>
      </w:r>
    </w:p>
    <w:p>
      <w:pPr>
        <w:spacing w:line="360" w:lineRule="auto"/>
        <w:ind w:firstLine="480" w:firstLineChars="200"/>
        <w:rPr>
          <w:rFonts w:hint="eastAsia" w:ascii="宋体" w:hAnsi="宋体" w:cs="宋体"/>
          <w:sz w:val="24"/>
        </w:rPr>
      </w:pPr>
      <w:r>
        <w:rPr>
          <w:rFonts w:hint="eastAsia" w:ascii="宋体" w:hAnsi="宋体" w:cs="宋体"/>
          <w:sz w:val="24"/>
        </w:rPr>
        <w:t>3、与本项目有关的其他资料。</w:t>
      </w:r>
    </w:p>
    <w:p>
      <w:pPr>
        <w:spacing w:line="360" w:lineRule="auto"/>
        <w:ind w:firstLine="480" w:firstLineChars="200"/>
        <w:rPr>
          <w:rFonts w:hint="eastAsia" w:ascii="宋体" w:hAnsi="宋体" w:cs="宋体"/>
          <w:sz w:val="24"/>
        </w:rPr>
      </w:pPr>
      <w:r>
        <w:rPr>
          <w:rFonts w:hint="eastAsia" w:ascii="宋体" w:hAnsi="宋体" w:cs="宋体"/>
          <w:b/>
          <w:bCs/>
          <w:sz w:val="24"/>
        </w:rPr>
        <w:t>第十二条：</w:t>
      </w:r>
      <w:r>
        <w:rPr>
          <w:rFonts w:hint="eastAsia" w:ascii="宋体" w:hAnsi="宋体" w:cs="宋体"/>
          <w:sz w:val="24"/>
        </w:rPr>
        <w:t>本合同一式肆份，甲方执贰份，乙方执贰份，均具有同等法律效力。</w:t>
      </w:r>
    </w:p>
    <w:p>
      <w:pPr>
        <w:spacing w:line="360" w:lineRule="auto"/>
        <w:ind w:firstLine="480" w:firstLineChars="200"/>
        <w:rPr>
          <w:rFonts w:hint="eastAsia" w:ascii="宋体" w:hAnsi="宋体" w:cs="宋体"/>
          <w:sz w:val="24"/>
        </w:rPr>
      </w:pPr>
      <w:r>
        <w:rPr>
          <w:rFonts w:hint="eastAsia" w:ascii="宋体" w:hAnsi="宋体" w:cs="宋体"/>
          <w:b/>
          <w:bCs/>
          <w:sz w:val="24"/>
        </w:rPr>
        <w:t>第十三条：</w:t>
      </w:r>
      <w:r>
        <w:rPr>
          <w:rFonts w:hint="eastAsia" w:ascii="宋体" w:hAnsi="宋体" w:cs="宋体"/>
          <w:sz w:val="24"/>
        </w:rPr>
        <w:t>本合同未尽事宜，由甲、乙双方另行签订补充协议，补充协议作为本合同附件，与本合同具有同等法律效力。</w:t>
      </w:r>
    </w:p>
    <w:p>
      <w:pPr>
        <w:spacing w:line="360" w:lineRule="auto"/>
        <w:ind w:firstLine="480" w:firstLineChars="200"/>
        <w:rPr>
          <w:rFonts w:hint="eastAsia" w:ascii="宋体" w:hAnsi="宋体" w:cs="宋体"/>
          <w:sz w:val="24"/>
        </w:rPr>
      </w:pPr>
      <w:r>
        <w:rPr>
          <w:rFonts w:hint="eastAsia" w:ascii="宋体" w:hAnsi="宋体" w:cs="宋体"/>
          <w:b/>
          <w:bCs/>
          <w:sz w:val="24"/>
        </w:rPr>
        <w:t>第十四条：</w:t>
      </w:r>
      <w:r>
        <w:rPr>
          <w:rFonts w:hint="eastAsia" w:ascii="宋体" w:hAnsi="宋体" w:cs="宋体"/>
          <w:sz w:val="24"/>
        </w:rPr>
        <w:t>本合同自甲、乙双方签字并加盖公章之日起生效。</w:t>
      </w:r>
    </w:p>
    <w:p>
      <w:pPr>
        <w:spacing w:line="360" w:lineRule="auto"/>
        <w:ind w:firstLine="480" w:firstLineChars="200"/>
        <w:rPr>
          <w:rFonts w:hint="eastAsia" w:ascii="宋体" w:hAnsi="宋体" w:cs="宋体"/>
          <w:sz w:val="24"/>
        </w:rPr>
      </w:pPr>
      <w:r>
        <w:rPr>
          <w:rFonts w:hint="eastAsia" w:ascii="宋体" w:hAnsi="宋体" w:cs="宋体"/>
          <w:b/>
          <w:bCs/>
          <w:sz w:val="24"/>
        </w:rPr>
        <w:t>第十五条：</w:t>
      </w:r>
      <w:r>
        <w:rPr>
          <w:rFonts w:hint="eastAsia" w:ascii="宋体" w:hAnsi="宋体" w:cs="宋体"/>
          <w:sz w:val="24"/>
        </w:rPr>
        <w:t>本合同应当按照中华人民共和国的现行法律、法规进行解释。</w:t>
      </w:r>
    </w:p>
    <w:p>
      <w:pPr>
        <w:spacing w:line="480" w:lineRule="exact"/>
        <w:jc w:val="center"/>
        <w:rPr>
          <w:rFonts w:hint="eastAsia" w:ascii="宋体" w:hAnsi="宋体" w:cs="宋体"/>
          <w:b/>
          <w:color w:val="000000"/>
          <w:sz w:val="24"/>
        </w:rPr>
      </w:pPr>
      <w:r>
        <w:rPr>
          <w:rFonts w:hint="eastAsia" w:ascii="宋体" w:hAnsi="宋体" w:cs="宋体"/>
          <w:b/>
          <w:color w:val="000000"/>
          <w:sz w:val="24"/>
        </w:rPr>
        <w:t>（本页以下无正文）</w:t>
      </w:r>
    </w:p>
    <w:p>
      <w:pPr>
        <w:pStyle w:val="14"/>
        <w:ind w:left="0" w:firstLine="0" w:firstLineChars="0"/>
        <w:rPr>
          <w:rFonts w:hint="eastAsia"/>
          <w:sz w:val="24"/>
        </w:rPr>
      </w:pPr>
    </w:p>
    <w:p>
      <w:pPr>
        <w:pStyle w:val="14"/>
        <w:ind w:left="6746" w:hanging="6720" w:hangingChars="2800"/>
        <w:rPr>
          <w:rFonts w:hint="eastAsia"/>
          <w:b/>
          <w:bCs/>
          <w:sz w:val="24"/>
        </w:rPr>
      </w:pPr>
      <w:r>
        <w:rPr>
          <w:rFonts w:hint="eastAsia"/>
          <w:b/>
          <w:bCs/>
          <w:sz w:val="24"/>
        </w:rPr>
        <w:t>甲方（盖章）</w:t>
      </w:r>
      <w:r>
        <w:rPr>
          <w:rFonts w:hint="eastAsia"/>
          <w:sz w:val="24"/>
        </w:rPr>
        <w:t xml:space="preserve">：陕西中医药大学第二附属医院    </w:t>
      </w:r>
      <w:r>
        <w:rPr>
          <w:rFonts w:hint="eastAsia"/>
          <w:b/>
          <w:bCs/>
          <w:sz w:val="24"/>
        </w:rPr>
        <w:t>乙方（盖章）：</w:t>
      </w:r>
      <w:r>
        <w:rPr>
          <w:rFonts w:hint="eastAsia"/>
          <w:b/>
          <w:bCs/>
          <w:sz w:val="24"/>
          <w:lang w:eastAsia="zh-CN"/>
        </w:rPr>
        <w:t xml:space="preserve"> </w:t>
      </w:r>
      <w:r>
        <w:rPr>
          <w:rFonts w:hint="eastAsia"/>
          <w:b/>
          <w:bCs/>
          <w:sz w:val="24"/>
        </w:rPr>
        <w:t xml:space="preserve">             </w:t>
      </w:r>
    </w:p>
    <w:p>
      <w:pPr>
        <w:pStyle w:val="14"/>
        <w:ind w:firstLine="480"/>
        <w:rPr>
          <w:rFonts w:hint="eastAsia"/>
          <w:sz w:val="24"/>
        </w:rPr>
      </w:pPr>
    </w:p>
    <w:p>
      <w:pPr>
        <w:pStyle w:val="14"/>
        <w:ind w:left="0" w:firstLine="0" w:firstLineChars="0"/>
        <w:rPr>
          <w:sz w:val="24"/>
        </w:rPr>
      </w:pPr>
      <w:r>
        <w:rPr>
          <w:rFonts w:hint="eastAsia"/>
          <w:sz w:val="24"/>
        </w:rPr>
        <w:t>法定代表人（签章）：                        法定代表人（签章）</w:t>
      </w:r>
    </w:p>
    <w:p>
      <w:pPr>
        <w:pStyle w:val="14"/>
        <w:ind w:firstLine="480"/>
        <w:rPr>
          <w:rFonts w:hint="eastAsia"/>
          <w:sz w:val="24"/>
        </w:rPr>
      </w:pPr>
    </w:p>
    <w:p>
      <w:pPr>
        <w:pStyle w:val="14"/>
        <w:ind w:left="0" w:firstLine="0" w:firstLineChars="0"/>
        <w:rPr>
          <w:sz w:val="24"/>
        </w:rPr>
      </w:pPr>
      <w:r>
        <w:rPr>
          <w:rFonts w:hint="eastAsia"/>
          <w:sz w:val="24"/>
        </w:rPr>
        <w:t>授权委托人：                               授权委托人：</w:t>
      </w:r>
    </w:p>
    <w:p>
      <w:pPr>
        <w:pStyle w:val="14"/>
        <w:ind w:firstLine="480"/>
        <w:rPr>
          <w:rFonts w:hint="eastAsia"/>
          <w:sz w:val="24"/>
        </w:rPr>
      </w:pPr>
    </w:p>
    <w:p>
      <w:pPr>
        <w:pStyle w:val="14"/>
        <w:tabs>
          <w:tab w:val="left" w:pos="5360"/>
        </w:tabs>
        <w:ind w:left="0" w:firstLine="0" w:firstLineChars="0"/>
        <w:rPr>
          <w:sz w:val="24"/>
        </w:rPr>
      </w:pPr>
      <w:r>
        <w:rPr>
          <w:rFonts w:hint="eastAsia"/>
          <w:sz w:val="24"/>
        </w:rPr>
        <w:t>经办人：</w:t>
      </w:r>
      <w:r>
        <w:rPr>
          <w:rFonts w:hint="eastAsia"/>
          <w:sz w:val="24"/>
        </w:rPr>
        <w:tab/>
      </w:r>
      <w:r>
        <w:rPr>
          <w:rFonts w:hint="eastAsia"/>
          <w:sz w:val="24"/>
        </w:rPr>
        <w:t xml:space="preserve">  年   月   日</w:t>
      </w:r>
    </w:p>
    <w:p>
      <w:pPr>
        <w:pStyle w:val="14"/>
        <w:ind w:firstLine="480"/>
        <w:rPr>
          <w:rFonts w:hint="eastAsia"/>
          <w:sz w:val="24"/>
        </w:rPr>
      </w:pPr>
    </w:p>
    <w:p>
      <w:pPr>
        <w:pStyle w:val="14"/>
        <w:ind w:left="0" w:firstLine="720" w:firstLineChars="300"/>
        <w:rPr>
          <w:rFonts w:hint="eastAsia"/>
          <w:sz w:val="24"/>
        </w:rPr>
      </w:pPr>
      <w:r>
        <w:rPr>
          <w:rFonts w:hint="eastAsia"/>
          <w:sz w:val="24"/>
        </w:rPr>
        <w:t xml:space="preserve"> 年   月    日 </w:t>
      </w:r>
    </w:p>
    <w:p>
      <w:pPr>
        <w:spacing w:line="360" w:lineRule="auto"/>
        <w:ind w:firstLine="480" w:firstLineChars="200"/>
        <w:rPr>
          <w:rFonts w:hint="eastAsia"/>
          <w:b/>
          <w:bCs/>
          <w:sz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z w:val="24"/>
          <w:szCs w:val="32"/>
        </w:rPr>
      </w:pPr>
      <w:r>
        <w:rPr>
          <w:rFonts w:hint="eastAsia" w:ascii="宋体" w:hAnsi="宋体" w:eastAsia="宋体" w:cs="宋体"/>
          <w:sz w:val="24"/>
          <w:szCs w:val="32"/>
        </w:rPr>
        <w:t>合同附件：</w:t>
      </w:r>
      <w:r>
        <w:rPr>
          <w:rFonts w:hint="eastAsia" w:ascii="宋体" w:hAnsi="宋体" w:eastAsia="宋体" w:cs="宋体"/>
          <w:b/>
          <w:sz w:val="24"/>
          <w:szCs w:val="32"/>
        </w:rPr>
        <w:t>采购货物的数量及主要技术参数和配置</w:t>
      </w: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202305-047</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秦都院区1号住院楼及西安分院分体式空调采购项目</w:t>
      </w: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r>
        <w:rPr>
          <w:rStyle w:val="26"/>
          <w:rFonts w:hint="eastAsia" w:ascii="宋体" w:hAnsi="宋体" w:cs="宋体"/>
          <w:b/>
          <w:sz w:val="28"/>
          <w:szCs w:val="28"/>
          <w:highlight w:val="none"/>
          <w:lang w:eastAsia="zh-CN"/>
        </w:rPr>
        <w:t>（盖章）</w:t>
      </w:r>
      <w:r>
        <w:rPr>
          <w:rStyle w:val="26"/>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right="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（项目名称：陕西中医药大学第二附属医院</w:t>
      </w:r>
      <w:r>
        <w:rPr>
          <w:rStyle w:val="26"/>
          <w:rFonts w:hint="eastAsia" w:ascii="宋体" w:hAnsi="宋体" w:cs="宋体"/>
          <w:sz w:val="24"/>
          <w:szCs w:val="24"/>
          <w:highlight w:val="none"/>
          <w:lang w:eastAsia="zh-CN"/>
        </w:rPr>
        <w:t>秦都院区</w:t>
      </w:r>
      <w:r>
        <w:rPr>
          <w:rStyle w:val="26"/>
          <w:rFonts w:hint="eastAsia" w:ascii="宋体" w:hAnsi="宋体" w:cs="宋体"/>
          <w:sz w:val="24"/>
          <w:szCs w:val="24"/>
          <w:highlight w:val="none"/>
          <w:lang w:val="en-US" w:eastAsia="zh-CN"/>
        </w:rPr>
        <w:t>1号住院楼及西安分院分体式空调采购项目</w:t>
      </w:r>
      <w:r>
        <w:rPr>
          <w:rStyle w:val="26"/>
          <w:rFonts w:hint="eastAsia" w:ascii="宋体" w:hAnsi="宋体" w:eastAsia="宋体" w:cs="宋体"/>
          <w:sz w:val="24"/>
          <w:szCs w:val="24"/>
          <w:highlight w:val="none"/>
        </w:rPr>
        <w:t>；项目编号：SZRFYZB</w:t>
      </w:r>
      <w:r>
        <w:rPr>
          <w:rStyle w:val="26"/>
          <w:rFonts w:hint="eastAsia" w:ascii="宋体" w:hAnsi="宋体" w:cs="宋体"/>
          <w:sz w:val="24"/>
          <w:szCs w:val="24"/>
          <w:highlight w:val="none"/>
          <w:lang w:eastAsia="zh-CN"/>
        </w:rPr>
        <w:t>202305-047</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5" w:name="_Toc193126889"/>
      <w:bookmarkStart w:id="16" w:name="_Toc194663926"/>
      <w:bookmarkStart w:id="17" w:name="_Toc193187105"/>
      <w:bookmarkStart w:id="18" w:name="_Toc188808840"/>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交货期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质保期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合同总价一次性包死，不受市场价格变化因素的影响。包括中标人在服务期限内完成院方需求中提出的服务项目的所有费用，并承担服务期间的所有风险。</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括本合同总额为设备到达使用地点，验收合格达到正常使用条件前的所有费用，包括但不限于设备生产、包装、运输（含装卸费）、成品保护、仓储、安装所需辅材、调试、各项试验检验费、保险费、验收费、劳保基金、增值税、关税、安全措施、技术指导支持、使用培训及质保期服务以及设备有关的特殊要求等可能产生的所有成本和费用。在合同执行期内，非经甲方书面同意。以上价款无论任何情况均不予调整。</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本表必须按给定格式填写完整，不允许空白，如无相应内容，填“无”。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 xml:space="preserve"> 投标单位</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noWrap w:val="0"/>
            <w:vAlign w:val="center"/>
          </w:tcPr>
          <w:p>
            <w:pPr>
              <w:jc w:val="left"/>
              <w:rPr>
                <w:rFonts w:ascii="宋体" w:cs="宋体"/>
                <w:sz w:val="22"/>
              </w:rPr>
            </w:pPr>
            <w:r>
              <w:rPr>
                <w:rFonts w:hint="eastAsia" w:ascii="宋体" w:cs="宋体"/>
                <w:sz w:val="22"/>
              </w:rPr>
              <w:t>分项费用</w:t>
            </w:r>
          </w:p>
        </w:tc>
        <w:tc>
          <w:tcPr>
            <w:tcW w:w="530" w:type="dxa"/>
            <w:tcBorders>
              <w:top w:val="single" w:color="auto" w:sz="6" w:space="0"/>
              <w:left w:val="single" w:color="auto" w:sz="4" w:space="0"/>
              <w:bottom w:val="single" w:color="auto" w:sz="6" w:space="0"/>
              <w:right w:val="nil"/>
            </w:tcBorders>
            <w:noWrap w:val="0"/>
            <w:vAlign w:val="center"/>
          </w:tcPr>
          <w:p>
            <w:pPr>
              <w:spacing w:after="120"/>
              <w:jc w:val="center"/>
              <w:rPr>
                <w:rFonts w:ascii="宋体" w:cs="宋体"/>
                <w:sz w:val="22"/>
              </w:rPr>
            </w:pPr>
            <w:r>
              <w:rPr>
                <w:rFonts w:hint="eastAsia" w:ascii="宋体" w:cs="宋体"/>
                <w:sz w:val="22"/>
              </w:rPr>
              <w:t>序号</w:t>
            </w:r>
          </w:p>
        </w:tc>
        <w:tc>
          <w:tcPr>
            <w:tcW w:w="789"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cs="宋体"/>
                <w:sz w:val="22"/>
              </w:rPr>
            </w:pPr>
            <w:r>
              <w:rPr>
                <w:rFonts w:hint="eastAsia" w:ascii="宋体" w:cs="宋体"/>
                <w:sz w:val="22"/>
              </w:rPr>
              <w:t>名称</w:t>
            </w:r>
          </w:p>
        </w:tc>
        <w:tc>
          <w:tcPr>
            <w:tcW w:w="862"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ascii="宋体" w:cs="宋体"/>
                <w:sz w:val="22"/>
              </w:rPr>
            </w:pPr>
            <w:r>
              <w:rPr>
                <w:rFonts w:hint="eastAsia" w:ascii="宋体" w:cs="宋体"/>
                <w:sz w:val="22"/>
              </w:rPr>
              <w:t>品牌</w:t>
            </w:r>
          </w:p>
        </w:tc>
        <w:tc>
          <w:tcPr>
            <w:tcW w:w="988"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ascii="宋体" w:cs="宋体"/>
                <w:sz w:val="22"/>
              </w:rPr>
            </w:pPr>
            <w:r>
              <w:rPr>
                <w:rFonts w:hint="eastAsia" w:ascii="宋体" w:cs="宋体"/>
                <w:sz w:val="22"/>
              </w:rPr>
              <w:t>型号或规格</w:t>
            </w:r>
          </w:p>
        </w:tc>
        <w:tc>
          <w:tcPr>
            <w:tcW w:w="1271" w:type="dxa"/>
            <w:tcBorders>
              <w:top w:val="single" w:color="auto" w:sz="6" w:space="0"/>
              <w:left w:val="single" w:color="auto" w:sz="6" w:space="0"/>
              <w:bottom w:val="single" w:color="auto" w:sz="6" w:space="0"/>
              <w:right w:val="single" w:color="auto" w:sz="6" w:space="0"/>
            </w:tcBorders>
            <w:noWrap w:val="0"/>
            <w:vAlign w:val="center"/>
          </w:tcPr>
          <w:p>
            <w:pPr>
              <w:spacing w:before="159" w:after="120"/>
              <w:jc w:val="center"/>
              <w:rPr>
                <w:rFonts w:ascii="宋体" w:cs="宋体"/>
                <w:sz w:val="22"/>
              </w:rPr>
            </w:pPr>
            <w:r>
              <w:rPr>
                <w:rFonts w:hint="eastAsia" w:ascii="宋体" w:cs="宋体"/>
                <w:sz w:val="22"/>
              </w:rPr>
              <w:t>原产地及制造厂名</w:t>
            </w: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cs="宋体"/>
                <w:sz w:val="22"/>
              </w:rPr>
            </w:pPr>
            <w:r>
              <w:rPr>
                <w:rFonts w:hint="eastAsia" w:ascii="宋体" w:cs="宋体"/>
                <w:sz w:val="22"/>
              </w:rPr>
              <w:t>数量</w:t>
            </w:r>
          </w:p>
        </w:tc>
        <w:tc>
          <w:tcPr>
            <w:tcW w:w="135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cs="宋体"/>
                <w:sz w:val="22"/>
              </w:rPr>
            </w:pPr>
            <w:r>
              <w:rPr>
                <w:rFonts w:hint="eastAsia" w:ascii="宋体" w:cs="宋体"/>
                <w:sz w:val="22"/>
              </w:rPr>
              <w:t>单价</w:t>
            </w:r>
          </w:p>
          <w:p>
            <w:pPr>
              <w:spacing w:after="120"/>
              <w:jc w:val="center"/>
              <w:rPr>
                <w:rFonts w:ascii="宋体" w:cs="宋体"/>
                <w:bCs/>
                <w:sz w:val="22"/>
              </w:rPr>
            </w:pPr>
            <w:r>
              <w:rPr>
                <w:rFonts w:hint="eastAsia" w:ascii="宋体" w:cs="宋体"/>
                <w:sz w:val="22"/>
              </w:rPr>
              <w:t>（元）</w:t>
            </w:r>
          </w:p>
        </w:tc>
        <w:tc>
          <w:tcPr>
            <w:tcW w:w="115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cs="宋体"/>
                <w:bCs/>
                <w:sz w:val="22"/>
              </w:rPr>
            </w:pPr>
            <w:r>
              <w:rPr>
                <w:rFonts w:hint="eastAsia" w:ascii="宋体" w:cs="宋体"/>
                <w:bCs/>
                <w:sz w:val="22"/>
              </w:rPr>
              <w:t>总价</w:t>
            </w:r>
          </w:p>
          <w:p>
            <w:pPr>
              <w:spacing w:after="120"/>
              <w:jc w:val="center"/>
              <w:rPr>
                <w:rFonts w:ascii="宋体" w:cs="宋体"/>
                <w:bCs/>
                <w:sz w:val="22"/>
              </w:rPr>
            </w:pPr>
            <w:r>
              <w:rPr>
                <w:rFonts w:hint="eastAsia" w:ascii="宋体" w:cs="宋体"/>
                <w:bCs/>
                <w:sz w:val="22"/>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noWrap w:val="0"/>
            <w:vAlign w:val="center"/>
          </w:tcPr>
          <w:p/>
        </w:tc>
        <w:tc>
          <w:tcPr>
            <w:tcW w:w="530" w:type="dxa"/>
            <w:tcBorders>
              <w:top w:val="single" w:color="auto" w:sz="6" w:space="0"/>
              <w:left w:val="single" w:color="auto" w:sz="4" w:space="0"/>
              <w:bottom w:val="single" w:color="auto" w:sz="4" w:space="0"/>
              <w:right w:val="nil"/>
            </w:tcBorders>
            <w:noWrap w:val="0"/>
            <w:vAlign w:val="center"/>
          </w:tcPr>
          <w:p>
            <w:pPr>
              <w:spacing w:before="319"/>
              <w:jc w:val="center"/>
              <w:rPr>
                <w:rFonts w:ascii="宋体" w:cs="宋体"/>
                <w:sz w:val="22"/>
              </w:rPr>
            </w:pPr>
            <w:r>
              <w:rPr>
                <w:rFonts w:hint="eastAsia" w:ascii="宋体" w:cs="宋体"/>
                <w:sz w:val="22"/>
              </w:rPr>
              <w:t>1</w:t>
            </w:r>
          </w:p>
        </w:tc>
        <w:tc>
          <w:tcPr>
            <w:tcW w:w="789" w:type="dxa"/>
            <w:tcBorders>
              <w:top w:val="single" w:color="auto" w:sz="6" w:space="0"/>
              <w:left w:val="single" w:color="auto" w:sz="6" w:space="0"/>
              <w:bottom w:val="single" w:color="auto" w:sz="4" w:space="0"/>
              <w:right w:val="single" w:color="auto" w:sz="6" w:space="0"/>
            </w:tcBorders>
            <w:noWrap w:val="0"/>
            <w:vAlign w:val="center"/>
          </w:tcPr>
          <w:p>
            <w:pPr>
              <w:spacing w:before="159"/>
              <w:jc w:val="center"/>
              <w:rPr>
                <w:rFonts w:ascii="宋体" w:cs="宋体"/>
                <w:sz w:val="22"/>
              </w:rPr>
            </w:pPr>
          </w:p>
        </w:tc>
        <w:tc>
          <w:tcPr>
            <w:tcW w:w="862" w:type="dxa"/>
            <w:tcBorders>
              <w:top w:val="single" w:color="auto" w:sz="6" w:space="0"/>
              <w:left w:val="single" w:color="auto" w:sz="6" w:space="0"/>
              <w:bottom w:val="single" w:color="auto" w:sz="4" w:space="0"/>
              <w:right w:val="single" w:color="auto" w:sz="4" w:space="0"/>
            </w:tcBorders>
            <w:noWrap w:val="0"/>
            <w:vAlign w:val="center"/>
          </w:tcPr>
          <w:p>
            <w:pPr>
              <w:spacing w:before="159"/>
              <w:jc w:val="center"/>
              <w:rPr>
                <w:rFonts w:ascii="宋体" w:cs="宋体"/>
                <w:sz w:val="22"/>
              </w:rPr>
            </w:pPr>
          </w:p>
        </w:tc>
        <w:tc>
          <w:tcPr>
            <w:tcW w:w="988" w:type="dxa"/>
            <w:tcBorders>
              <w:top w:val="single" w:color="auto" w:sz="6" w:space="0"/>
              <w:left w:val="single" w:color="auto" w:sz="4" w:space="0"/>
              <w:bottom w:val="single" w:color="auto" w:sz="4" w:space="0"/>
              <w:right w:val="single" w:color="auto" w:sz="6" w:space="0"/>
            </w:tcBorders>
            <w:noWrap w:val="0"/>
            <w:vAlign w:val="center"/>
          </w:tcPr>
          <w:p>
            <w:pPr>
              <w:spacing w:before="159"/>
              <w:jc w:val="center"/>
              <w:rPr>
                <w:rFonts w:ascii="宋体" w:cs="宋体"/>
                <w:sz w:val="22"/>
              </w:rPr>
            </w:pPr>
          </w:p>
        </w:tc>
        <w:tc>
          <w:tcPr>
            <w:tcW w:w="1271" w:type="dxa"/>
            <w:tcBorders>
              <w:top w:val="single" w:color="auto" w:sz="6" w:space="0"/>
              <w:left w:val="single" w:color="auto" w:sz="6" w:space="0"/>
              <w:bottom w:val="single" w:color="auto" w:sz="4" w:space="0"/>
              <w:right w:val="single" w:color="auto" w:sz="6" w:space="0"/>
            </w:tcBorders>
            <w:noWrap w:val="0"/>
            <w:vAlign w:val="center"/>
          </w:tcPr>
          <w:p>
            <w:pPr>
              <w:spacing w:before="159"/>
              <w:jc w:val="center"/>
              <w:rPr>
                <w:rFonts w:ascii="宋体" w:cs="宋体"/>
                <w:sz w:val="22"/>
              </w:rPr>
            </w:pPr>
          </w:p>
        </w:tc>
        <w:tc>
          <w:tcPr>
            <w:tcW w:w="966" w:type="dxa"/>
            <w:tcBorders>
              <w:top w:val="single" w:color="auto" w:sz="6" w:space="0"/>
              <w:left w:val="single" w:color="auto" w:sz="6" w:space="0"/>
              <w:bottom w:val="single" w:color="auto" w:sz="4" w:space="0"/>
              <w:right w:val="single" w:color="auto" w:sz="6" w:space="0"/>
            </w:tcBorders>
            <w:noWrap w:val="0"/>
            <w:vAlign w:val="center"/>
          </w:tcPr>
          <w:p>
            <w:pPr>
              <w:spacing w:before="159"/>
              <w:jc w:val="center"/>
              <w:rPr>
                <w:rFonts w:ascii="宋体" w:cs="宋体"/>
                <w:sz w:val="22"/>
              </w:rPr>
            </w:pPr>
          </w:p>
        </w:tc>
        <w:tc>
          <w:tcPr>
            <w:tcW w:w="1353" w:type="dxa"/>
            <w:tcBorders>
              <w:top w:val="single" w:color="auto" w:sz="6" w:space="0"/>
              <w:left w:val="single" w:color="auto" w:sz="6" w:space="0"/>
              <w:bottom w:val="single" w:color="auto" w:sz="4" w:space="0"/>
              <w:right w:val="single" w:color="auto" w:sz="6" w:space="0"/>
            </w:tcBorders>
            <w:noWrap w:val="0"/>
            <w:vAlign w:val="center"/>
          </w:tcPr>
          <w:p>
            <w:pPr>
              <w:spacing w:before="159"/>
              <w:jc w:val="center"/>
              <w:rPr>
                <w:rFonts w:ascii="宋体" w:cs="宋体"/>
                <w:sz w:val="22"/>
              </w:rPr>
            </w:pPr>
          </w:p>
        </w:tc>
        <w:tc>
          <w:tcPr>
            <w:tcW w:w="1153" w:type="dxa"/>
            <w:tcBorders>
              <w:top w:val="single" w:color="auto" w:sz="6" w:space="0"/>
              <w:left w:val="single" w:color="auto" w:sz="6" w:space="0"/>
              <w:bottom w:val="single" w:color="auto" w:sz="4" w:space="0"/>
              <w:right w:val="single" w:color="auto" w:sz="6" w:space="0"/>
            </w:tcBorders>
            <w:noWrap w:val="0"/>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noWrap w:val="0"/>
            <w:vAlign w:val="center"/>
          </w:tcPr>
          <w:p/>
        </w:tc>
        <w:tc>
          <w:tcPr>
            <w:tcW w:w="530" w:type="dxa"/>
            <w:tcBorders>
              <w:top w:val="single" w:color="auto" w:sz="4" w:space="0"/>
              <w:left w:val="single" w:color="auto" w:sz="4" w:space="0"/>
              <w:bottom w:val="single" w:color="auto" w:sz="6" w:space="0"/>
              <w:right w:val="nil"/>
            </w:tcBorders>
            <w:noWrap w:val="0"/>
            <w:vAlign w:val="center"/>
          </w:tcPr>
          <w:p>
            <w:pPr>
              <w:spacing w:before="319"/>
              <w:jc w:val="center"/>
              <w:rPr>
                <w:rFonts w:ascii="宋体" w:cs="宋体"/>
                <w:sz w:val="22"/>
              </w:rPr>
            </w:pPr>
            <w:r>
              <w:rPr>
                <w:rFonts w:hint="eastAsia" w:ascii="宋体" w:cs="宋体"/>
                <w:sz w:val="22"/>
              </w:rPr>
              <w:t>2</w:t>
            </w:r>
          </w:p>
        </w:tc>
        <w:tc>
          <w:tcPr>
            <w:tcW w:w="789" w:type="dxa"/>
            <w:tcBorders>
              <w:top w:val="single" w:color="auto" w:sz="4" w:space="0"/>
              <w:left w:val="single" w:color="auto" w:sz="6" w:space="0"/>
              <w:bottom w:val="single" w:color="auto" w:sz="6" w:space="0"/>
              <w:right w:val="single" w:color="auto" w:sz="6" w:space="0"/>
            </w:tcBorders>
            <w:noWrap w:val="0"/>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noWrap w:val="0"/>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noWrap w:val="0"/>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noWrap w:val="0"/>
            <w:vAlign w:val="center"/>
          </w:tcPr>
          <w:p/>
        </w:tc>
        <w:tc>
          <w:tcPr>
            <w:tcW w:w="530" w:type="dxa"/>
            <w:tcBorders>
              <w:top w:val="single" w:color="auto" w:sz="4" w:space="0"/>
              <w:left w:val="single" w:color="auto" w:sz="4" w:space="0"/>
              <w:bottom w:val="single" w:color="auto" w:sz="6" w:space="0"/>
              <w:right w:val="nil"/>
            </w:tcBorders>
            <w:noWrap w:val="0"/>
            <w:vAlign w:val="center"/>
          </w:tcPr>
          <w:p>
            <w:pPr>
              <w:spacing w:before="319"/>
              <w:jc w:val="center"/>
              <w:rPr>
                <w:rFonts w:ascii="宋体" w:cs="宋体"/>
                <w:sz w:val="22"/>
              </w:rPr>
            </w:pPr>
            <w:r>
              <w:rPr>
                <w:rFonts w:hint="eastAsia" w:ascii="宋体" w:cs="宋体"/>
                <w:sz w:val="22"/>
              </w:rPr>
              <w:t>3</w:t>
            </w:r>
          </w:p>
        </w:tc>
        <w:tc>
          <w:tcPr>
            <w:tcW w:w="789" w:type="dxa"/>
            <w:tcBorders>
              <w:top w:val="single" w:color="auto" w:sz="4" w:space="0"/>
              <w:left w:val="single" w:color="auto" w:sz="6" w:space="0"/>
              <w:bottom w:val="single" w:color="auto" w:sz="6" w:space="0"/>
              <w:right w:val="single" w:color="auto" w:sz="6" w:space="0"/>
            </w:tcBorders>
            <w:noWrap w:val="0"/>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noWrap w:val="0"/>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noWrap w:val="0"/>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noWrap w:val="0"/>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noWrap w:val="0"/>
            <w:vAlign w:val="center"/>
          </w:tcPr>
          <w:p>
            <w:pPr>
              <w:jc w:val="center"/>
              <w:rPr>
                <w:rFonts w:ascii="宋体" w:cs="宋体"/>
                <w:sz w:val="22"/>
              </w:rPr>
            </w:pPr>
            <w:r>
              <w:rPr>
                <w:rFonts w:hint="eastAsia" w:ascii="宋体" w:cs="宋体"/>
                <w:sz w:val="22"/>
              </w:rPr>
              <w:t>投标总报价</w:t>
            </w:r>
          </w:p>
        </w:tc>
        <w:tc>
          <w:tcPr>
            <w:tcW w:w="7382" w:type="dxa"/>
            <w:gridSpan w:val="7"/>
            <w:tcBorders>
              <w:top w:val="single" w:color="auto" w:sz="4" w:space="0"/>
              <w:left w:val="single" w:color="auto" w:sz="6" w:space="0"/>
              <w:bottom w:val="single" w:color="auto" w:sz="6" w:space="0"/>
              <w:right w:val="single" w:color="auto" w:sz="6" w:space="0"/>
            </w:tcBorders>
            <w:noWrap w:val="0"/>
            <w:vAlign w:val="center"/>
          </w:tcPr>
          <w:p>
            <w:pPr>
              <w:spacing w:before="159"/>
              <w:jc w:val="left"/>
              <w:rPr>
                <w:rFonts w:ascii="宋体" w:cs="宋体"/>
                <w:sz w:val="22"/>
              </w:rPr>
            </w:pPr>
            <w:r>
              <w:rPr>
                <w:rFonts w:hint="eastAsia" w:ascii="宋体" w:cs="宋体"/>
                <w:sz w:val="22"/>
              </w:rPr>
              <w:t>大写：</w:t>
            </w:r>
            <w:r>
              <w:rPr>
                <w:rFonts w:hint="eastAsia" w:ascii="宋体" w:cs="宋体"/>
                <w:sz w:val="22"/>
                <w:u w:val="single"/>
              </w:rPr>
              <w:t xml:space="preserve">                  </w:t>
            </w:r>
            <w:r>
              <w:rPr>
                <w:rFonts w:hint="eastAsia" w:ascii="宋体" w:cs="宋体"/>
                <w:sz w:val="22"/>
              </w:rPr>
              <w:t xml:space="preserve"> 小写：</w:t>
            </w:r>
            <w:r>
              <w:rPr>
                <w:rFonts w:hint="eastAsia" w:ascii="宋体" w:cs="宋体"/>
                <w:sz w:val="22"/>
                <w:u w:val="single"/>
              </w:rPr>
              <w:t xml:space="preserve">    </w:t>
            </w:r>
            <w:r>
              <w:rPr>
                <w:rFonts w:hint="eastAsia" w:ascii="宋体" w:cs="宋体"/>
                <w:sz w:val="22"/>
              </w:rPr>
              <w:t xml:space="preserve"> 元</w:t>
            </w:r>
            <w:r>
              <w:rPr>
                <w:rFonts w:hint="eastAsia" w:ascii="宋体" w:cs="宋体"/>
                <w:sz w:val="22"/>
                <w:lang w:eastAsia="zh-CN"/>
              </w:rPr>
              <w:t>，</w:t>
            </w:r>
            <w:r>
              <w:rPr>
                <w:rFonts w:hint="eastAsia" w:ascii="宋体" w:cs="宋体"/>
                <w:spacing w:val="-6"/>
                <w:sz w:val="22"/>
              </w:rPr>
              <w:t>保留小数点后两位。</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noWrap w:val="0"/>
            <w:vAlign w:val="center"/>
          </w:tcPr>
          <w:p>
            <w:pPr>
              <w:jc w:val="center"/>
              <w:rPr>
                <w:rFonts w:ascii="宋体" w:cs="宋体"/>
                <w:sz w:val="22"/>
              </w:rPr>
            </w:pPr>
            <w:r>
              <w:rPr>
                <w:rFonts w:hint="eastAsia" w:ascii="宋体" w:cs="宋体"/>
                <w:sz w:val="22"/>
              </w:rPr>
              <w:t>备注</w:t>
            </w:r>
          </w:p>
        </w:tc>
        <w:tc>
          <w:tcPr>
            <w:tcW w:w="7382" w:type="dxa"/>
            <w:gridSpan w:val="7"/>
            <w:tcBorders>
              <w:top w:val="single" w:color="auto" w:sz="4" w:space="0"/>
              <w:left w:val="single" w:color="auto" w:sz="6" w:space="0"/>
              <w:bottom w:val="single" w:color="auto" w:sz="6" w:space="0"/>
              <w:right w:val="single" w:color="auto" w:sz="6" w:space="0"/>
            </w:tcBorders>
            <w:noWrap w:val="0"/>
            <w:vAlign w:val="center"/>
          </w:tcPr>
          <w:p>
            <w:pPr>
              <w:spacing w:before="159"/>
              <w:jc w:val="both"/>
              <w:rPr>
                <w:rFonts w:ascii="宋体" w:cs="宋体"/>
                <w:sz w:val="22"/>
              </w:rPr>
            </w:pPr>
            <w:r>
              <w:rPr>
                <w:rFonts w:hint="eastAsia" w:ascii="宋体" w:hAnsi="宋体" w:eastAsia="宋体" w:cs="宋体"/>
                <w:sz w:val="21"/>
                <w:szCs w:val="21"/>
                <w:highlight w:val="none"/>
                <w:lang w:eastAsia="zh-CN"/>
              </w:rPr>
              <w:t>该报价为本项目验收合格达到正常使用条件前的所有费用，包括但不限于设备生产、包装、运输（含装卸费）、成品保护、仓储、安装所需辅材、调试、各项试验检验费、保险费、验收费、劳保基金、增值税、关税、安全措施、技术指导支持、使用培训及质保期服务以及设备有关的特殊要求等可能产生的所有成本和费用。</w:t>
            </w: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 xml:space="preserve"> 投标单位</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2"/>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9" w:name="_Toc194663924"/>
      <w:bookmarkStart w:id="20" w:name="_Toc193187103"/>
      <w:bookmarkStart w:id="21" w:name="_Toc193126887"/>
      <w:bookmarkStart w:id="22" w:name="_Toc188808838"/>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5" w:type="first"/>
          <w:headerReference r:id="rId13" w:type="default"/>
          <w:footerReference r:id="rId14"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9"/>
    <w:bookmarkEnd w:id="20"/>
    <w:bookmarkEnd w:id="21"/>
    <w:bookmarkEnd w:id="22"/>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3" w:name="_Toc49019236"/>
      <w:bookmarkStart w:id="24" w:name="_Toc49019497"/>
      <w:bookmarkStart w:id="25" w:name="_Toc47418938"/>
      <w:bookmarkStart w:id="26" w:name="_Toc188808839"/>
      <w:bookmarkStart w:id="27" w:name="_Toc47261885"/>
      <w:bookmarkStart w:id="28" w:name="_Toc47418731"/>
      <w:bookmarkStart w:id="29" w:name="_Toc194663925"/>
      <w:bookmarkStart w:id="30" w:name="_Toc193126888"/>
      <w:bookmarkStart w:id="31" w:name="_Toc47261690"/>
      <w:bookmarkStart w:id="32" w:name="_Toc48791235"/>
      <w:bookmarkStart w:id="33" w:name="_Toc47418255"/>
      <w:bookmarkStart w:id="34" w:name="_Toc193187104"/>
      <w:bookmarkStart w:id="35" w:name="_Toc48995851"/>
      <w:bookmarkStart w:id="36" w:name="_Toc47262069"/>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37" w:name="_Toc352691662"/>
      <w:bookmarkStart w:id="38" w:name="_Toc27897"/>
      <w:bookmarkStart w:id="39" w:name="_Toc369531698"/>
      <w:r>
        <w:rPr>
          <w:rFonts w:hint="eastAsia" w:ascii="宋体" w:hAnsi="宋体" w:eastAsia="宋体" w:cs="宋体"/>
          <w:sz w:val="24"/>
          <w:u w:val="single"/>
        </w:rPr>
        <w:t xml:space="preserve">    </w:t>
      </w:r>
      <w:r>
        <w:rPr>
          <w:rFonts w:hint="eastAsia" w:ascii="宋体" w:hAnsi="宋体" w:eastAsia="宋体" w:cs="宋体"/>
          <w:sz w:val="24"/>
        </w:rPr>
        <w:t>年</w:t>
      </w:r>
      <w:bookmarkEnd w:id="37"/>
      <w:bookmarkEnd w:id="38"/>
      <w:bookmarkEnd w:id="39"/>
      <w:r>
        <w:rPr>
          <w:rFonts w:hint="eastAsia" w:ascii="宋体" w:hAnsi="宋体" w:eastAsia="宋体" w:cs="宋体"/>
          <w:sz w:val="24"/>
        </w:rPr>
        <w:t>龄</w:t>
      </w:r>
      <w:bookmarkStart w:id="40" w:name="_Toc15573"/>
      <w:bookmarkStart w:id="41" w:name="_Toc152042578"/>
      <w:bookmarkStart w:id="42" w:name="_Toc384308377"/>
      <w:bookmarkStart w:id="43" w:name="_Toc247527829"/>
      <w:bookmarkStart w:id="44" w:name="_Toc369531699"/>
      <w:bookmarkStart w:id="45" w:name="_Toc361508754"/>
      <w:bookmarkStart w:id="46" w:name="_Toc144974858"/>
      <w:bookmarkStart w:id="47" w:name="_Toc300835211"/>
      <w:bookmarkStart w:id="48" w:name="_Toc152045789"/>
      <w:bookmarkStart w:id="49" w:name="_Toc352691663"/>
      <w:bookmarkStart w:id="50" w:name="_Toc247514248"/>
      <w:r>
        <w:rPr>
          <w:rFonts w:hint="eastAsia" w:ascii="宋体" w:hAnsi="宋体" w:eastAsia="宋体" w:cs="宋体"/>
          <w:sz w:val="24"/>
        </w:rPr>
        <w:t>：</w:t>
      </w:r>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1" w:name="_Toc47418732"/>
      <w:bookmarkStart w:id="52" w:name="_Toc48791236"/>
      <w:bookmarkStart w:id="53" w:name="_Toc47418256"/>
      <w:bookmarkStart w:id="54" w:name="_Toc49019237"/>
      <w:bookmarkStart w:id="55" w:name="_Toc48995852"/>
      <w:bookmarkStart w:id="56" w:name="_Toc47261886"/>
      <w:bookmarkStart w:id="57" w:name="_Toc49019498"/>
      <w:bookmarkStart w:id="58" w:name="_Toc47262070"/>
      <w:bookmarkStart w:id="59" w:name="_Toc47261691"/>
      <w:bookmarkStart w:id="60" w:name="_Toc47418939"/>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5"/>
    <w:bookmarkEnd w:id="16"/>
    <w:bookmarkEnd w:id="17"/>
    <w:bookmarkEnd w:id="18"/>
    <w:bookmarkEnd w:id="51"/>
    <w:bookmarkEnd w:id="52"/>
    <w:bookmarkEnd w:id="53"/>
    <w:bookmarkEnd w:id="54"/>
    <w:bookmarkEnd w:id="55"/>
    <w:bookmarkEnd w:id="56"/>
    <w:bookmarkEnd w:id="57"/>
    <w:bookmarkEnd w:id="58"/>
    <w:bookmarkEnd w:id="59"/>
    <w:bookmarkEnd w:id="60"/>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1" w:name="_Toc476761669"/>
      <w:bookmarkStart w:id="62" w:name="_Toc26141"/>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1"/>
    <w:bookmarkEnd w:id="62"/>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r>
        <w:rPr>
          <w:rFonts w:hint="eastAsia" w:ascii="宋体" w:hAnsi="宋体" w:cs="宋体"/>
          <w:bCs/>
          <w:sz w:val="21"/>
          <w:szCs w:val="21"/>
          <w:highlight w:val="none"/>
          <w:lang w:eastAsia="zh-CN"/>
        </w:rPr>
        <w:t>此部分由投标单位自行编辑，无具体格式。</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6"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陕西中医药大学第二附属医院秦都院区1号住院楼及西安分院分体式空调采购项目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陕西中医药大学第二附属医院秦都院区1号住院楼及西安分院分体式空调采购项目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陕西中医药大学第二附属医院秦都院区1号住院楼及西安分院分体式空调采购项目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ED16"/>
    <w:multiLevelType w:val="singleLevel"/>
    <w:tmpl w:val="C6D0ED16"/>
    <w:lvl w:ilvl="0" w:tentative="0">
      <w:start w:val="5"/>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43406CAD"/>
    <w:multiLevelType w:val="singleLevel"/>
    <w:tmpl w:val="43406CAD"/>
    <w:lvl w:ilvl="0" w:tentative="0">
      <w:start w:val="1"/>
      <w:numFmt w:val="decimal"/>
      <w:suff w:val="nothing"/>
      <w:lvlText w:val="%1、"/>
      <w:lvlJc w:val="left"/>
    </w:lvl>
  </w:abstractNum>
  <w:abstractNum w:abstractNumId="4">
    <w:nsid w:val="54D1A91D"/>
    <w:multiLevelType w:val="singleLevel"/>
    <w:tmpl w:val="54D1A91D"/>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3C41E6"/>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D01E5"/>
    <w:rsid w:val="0D1F200E"/>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AB691C"/>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47478B"/>
    <w:rsid w:val="3B894804"/>
    <w:rsid w:val="3C6008AD"/>
    <w:rsid w:val="3CD71AFE"/>
    <w:rsid w:val="3D4717F5"/>
    <w:rsid w:val="3DE94093"/>
    <w:rsid w:val="3E0427FF"/>
    <w:rsid w:val="3E1B6A1F"/>
    <w:rsid w:val="3E2C5397"/>
    <w:rsid w:val="3FC50572"/>
    <w:rsid w:val="3FF73C5F"/>
    <w:rsid w:val="40663513"/>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B495DC7"/>
    <w:rsid w:val="5BBE579F"/>
    <w:rsid w:val="5C035D71"/>
    <w:rsid w:val="5C3239B4"/>
    <w:rsid w:val="5C434D77"/>
    <w:rsid w:val="5CB03E12"/>
    <w:rsid w:val="5D7308D9"/>
    <w:rsid w:val="5DCE4834"/>
    <w:rsid w:val="5DEF1EB3"/>
    <w:rsid w:val="5E3C5045"/>
    <w:rsid w:val="5EDA39E1"/>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qFormat/>
    <w:uiPriority w:val="0"/>
    <w:pPr>
      <w:ind w:firstLine="420" w:firstLineChars="200"/>
    </w:pPr>
    <w:rPr>
      <w:rFonts w:ascii="Calibri" w:hAnsi="Calibri"/>
      <w:kern w:val="0"/>
      <w:sz w:val="20"/>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6"/>
    <w:next w:val="6"/>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6"/>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13574</Words>
  <Characters>13942</Characters>
  <Paragraphs>503</Paragraphs>
  <TotalTime>12</TotalTime>
  <ScaleCrop>false</ScaleCrop>
  <LinksUpToDate>false</LinksUpToDate>
  <CharactersWithSpaces>14899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2023-03-04T01:22:00Z</cp:lastPrinted>
  <dcterms:modified xsi:type="dcterms:W3CDTF">2023-05-20T01:09:03Z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BC18FAD10ECE4B50A32E9F22AF80A200</vt:lpwstr>
  </property>
</Properties>
</file>