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8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台、套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  <w:t>手持测温热像仪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  <w:t>磁振热治疗仪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手持测温热像仪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技术要求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热成像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传感器类型：非制冷型探测器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响应波段：8-14μm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噪声等效温差＜50 mk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最大图像尺寸：384×288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热成像镜头焦距：9.7 mm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视场角：37.5°× 28.5°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数字变倍：1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、4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、8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X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帧频：25 Hz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F值：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F1.0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测温范围：-20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℃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-550℃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精度：±2℃或±2%，取最大值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2、可见光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最大图像尺寸：3264×2448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图片分辨率：1600×1200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视频分辨率：1600×1200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3、图像显示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显示器：3.5LCD电容触摸屏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图像模式：支持彩虹等7种伪彩模式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画面显示模式：可见光、热成像、双光融合、画中画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系统参数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工作温度和湿度：-10℃-50℃，≤95%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防护等级：IP54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电池类型：锂离子电池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电池工作时间：4h，可现场更换，可充电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、磁振热治疗仪技术要求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1、加热方式：40℃～55℃连续每1℃可调，最高温度不超过60℃。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2、超温保护：具有超温保护装置，应用部分的温度不高于60℃。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3、具有治疗温度实时显示功能。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4、振动频率：仪器在连续输出时振动频率为50Hz±2Hz。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5、定时：1min～60min，误差≤±1% 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6、磁场强度分布：由治疗垫上每个热磁振子中心向周边递减。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7、输出通道：双路输出通道。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8、工作模式：内置≥24种快捷处方，有磁振、磁热等模式。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Times New Roman"/>
          <w:sz w:val="32"/>
          <w:szCs w:val="32"/>
          <w:lang w:val="en-US" w:eastAsia="zh-CN"/>
        </w:rPr>
        <w:t>三</w:t>
      </w:r>
      <w:r>
        <w:rPr>
          <w:rFonts w:hint="eastAsia" w:ascii="宋体" w:hAnsi="宋体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商务要求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材质证明，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产品售后服务承诺（投标人依据产品特性和需求自拟售后服务方案，含装机、使用培训等），供销合同以及投标厂商认为必须提供的其他资料、文件、证书等。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</w:t>
      </w:r>
      <w:r>
        <w:rPr>
          <w:rFonts w:hint="eastAsia" w:ascii="宋体" w:hAnsi="宋体"/>
          <w:b/>
          <w:sz w:val="44"/>
          <w:lang w:eastAsia="zh-CN"/>
        </w:rPr>
        <w:t>报价</w:t>
      </w:r>
      <w:r>
        <w:rPr>
          <w:rFonts w:hint="eastAsia" w:ascii="宋体" w:hAnsi="宋体"/>
          <w:b/>
          <w:sz w:val="44"/>
        </w:rPr>
        <w:t>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3"/>
        <w:gridCol w:w="952"/>
        <w:gridCol w:w="1039"/>
        <w:gridCol w:w="1190"/>
        <w:gridCol w:w="2920"/>
        <w:gridCol w:w="1278"/>
        <w:gridCol w:w="127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型号和规格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总报价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制造商名称和国籍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交货期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质保期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注：总报价包括运输、保险、税金、集成调试、验收及安装辅助工作等所有一切涉及费用。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投标响应人（盖章）：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全权代表（签字）：</w:t>
      </w:r>
    </w:p>
    <w:p>
      <w:pPr>
        <w:spacing w:line="520" w:lineRule="exact"/>
        <w:ind w:firstLine="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日  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9C354"/>
    <w:multiLevelType w:val="singleLevel"/>
    <w:tmpl w:val="9459C3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21E2C1"/>
    <w:multiLevelType w:val="singleLevel"/>
    <w:tmpl w:val="1521E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68122D"/>
    <w:multiLevelType w:val="singleLevel"/>
    <w:tmpl w:val="7C68122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937E3"/>
    <w:rsid w:val="01E01D0E"/>
    <w:rsid w:val="0CC667C2"/>
    <w:rsid w:val="0D080870"/>
    <w:rsid w:val="1E7F0754"/>
    <w:rsid w:val="20B937E3"/>
    <w:rsid w:val="22BD61F3"/>
    <w:rsid w:val="26BE2EE1"/>
    <w:rsid w:val="2D2D51D9"/>
    <w:rsid w:val="3B58006C"/>
    <w:rsid w:val="3C010B92"/>
    <w:rsid w:val="407D28DD"/>
    <w:rsid w:val="40E75B01"/>
    <w:rsid w:val="451E2976"/>
    <w:rsid w:val="454D1DF8"/>
    <w:rsid w:val="45EC57D9"/>
    <w:rsid w:val="47F37014"/>
    <w:rsid w:val="4B307F16"/>
    <w:rsid w:val="58AE4F0C"/>
    <w:rsid w:val="594E3790"/>
    <w:rsid w:val="59AF34B7"/>
    <w:rsid w:val="61695AD8"/>
    <w:rsid w:val="77F80D70"/>
    <w:rsid w:val="785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" w:beforeLines="2" w:after="2" w:afterLines="2"/>
      <w:outlineLvl w:val="1"/>
    </w:pPr>
    <w:rPr>
      <w:rFonts w:ascii="Arial" w:hAnsi="Arial"/>
      <w:b/>
      <w:kern w:val="0"/>
      <w:sz w:val="30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仿宋" w:cs="Times New Roman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2022-08-23T09:12:00Z</dcterms:created>
  <dc:creator>Administrator</dc:creator>
  <cp:lastModifiedBy>rsrm</cp:lastModifiedBy>
  <dcterms:modified xsi:type="dcterms:W3CDTF">2024-02-01T02:48:27Z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33784DE37DA94D0FA7283E40EE6BAE33</vt:lpwstr>
  </property>
</Properties>
</file>