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0"/>
          <w:szCs w:val="30"/>
          <w:highlight w:val="none"/>
          <w:lang w:val="zh-CN"/>
        </w:rPr>
      </w:pPr>
      <w:r>
        <w:rPr>
          <w:rFonts w:hint="default" w:ascii="Times New Roman" w:hAnsi="Times New Roman" w:eastAsia="仿宋_GB2312" w:cs="Times New Roman"/>
          <w:b/>
          <w:bCs/>
          <w:i w:val="0"/>
          <w:iCs w:val="0"/>
          <w:color w:val="auto"/>
          <w:sz w:val="30"/>
          <w:szCs w:val="30"/>
          <w:highlight w:val="none"/>
          <w:lang w:val="zh-CN"/>
        </w:rPr>
        <w:t>项目编号：</w:t>
      </w:r>
      <w:r>
        <w:rPr>
          <w:rFonts w:hint="eastAsia" w:ascii="Times New Roman" w:hAnsi="Times New Roman" w:eastAsia="仿宋_GB2312" w:cs="Times New Roman"/>
          <w:b/>
          <w:bCs/>
          <w:i w:val="0"/>
          <w:iCs w:val="0"/>
          <w:color w:val="auto"/>
          <w:sz w:val="30"/>
          <w:szCs w:val="30"/>
          <w:highlight w:val="none"/>
          <w:lang w:val="en-US" w:eastAsia="zh-CN"/>
        </w:rPr>
        <w:t>SZRFYZB202312-153</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0"/>
          <w:szCs w:val="30"/>
          <w:highlight w:val="none"/>
        </w:rPr>
      </w:pPr>
    </w:p>
    <w:p>
      <w:pPr>
        <w:pStyle w:val="2"/>
        <w:rPr>
          <w:rFonts w:hint="default"/>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2"/>
          <w:szCs w:val="32"/>
          <w:highlight w:val="none"/>
        </w:rPr>
      </w:pPr>
    </w:p>
    <w:p>
      <w:pPr>
        <w:pStyle w:val="2"/>
        <w:rPr>
          <w:rFonts w:hint="default"/>
        </w:rPr>
      </w:pPr>
    </w:p>
    <w:p>
      <w:pPr>
        <w:pStyle w:val="2"/>
        <w:rPr>
          <w:rFonts w:hint="default"/>
        </w:rPr>
      </w:pPr>
    </w:p>
    <w:p>
      <w:pPr>
        <w:pStyle w:val="2"/>
        <w:rPr>
          <w:rFonts w:hint="default"/>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2"/>
          <w:szCs w:val="32"/>
          <w:highlight w:val="none"/>
        </w:rPr>
      </w:pPr>
      <w:r>
        <w:rPr>
          <w:rFonts w:hint="default" w:ascii="Times New Roman" w:hAnsi="Times New Roman" w:eastAsia="仿宋_GB2312" w:cs="Times New Roman"/>
          <w:i w:val="0"/>
          <w:iCs w:val="0"/>
          <w:color w:val="auto"/>
          <w:sz w:val="32"/>
          <w:szCs w:val="32"/>
          <w:highlight w:val="none"/>
        </w:rPr>
        <w:t xml:space="preserve"> </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32"/>
          <w:szCs w:val="32"/>
          <w:highlight w:val="none"/>
          <w:lang w:val="en-US" w:eastAsia="zh-CN"/>
        </w:rPr>
      </w:pPr>
      <w:r>
        <w:rPr>
          <w:rFonts w:hint="eastAsia" w:ascii="仿宋" w:hAnsi="仿宋" w:eastAsia="仿宋"/>
          <w:b/>
          <w:bCs/>
          <w:color w:val="auto"/>
          <w:sz w:val="44"/>
          <w:szCs w:val="44"/>
          <w:highlight w:val="none"/>
          <w:lang w:val="en-US" w:eastAsia="zh-CN"/>
        </w:rPr>
        <w:t>陕西中医药大学第二附属医院迁建医院项目</w:t>
      </w:r>
    </w:p>
    <w:p>
      <w:pPr>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44"/>
          <w:szCs w:val="44"/>
          <w:highlight w:val="none"/>
          <w:lang w:val="en-US" w:eastAsia="zh-CN"/>
        </w:rPr>
      </w:pPr>
      <w:r>
        <w:rPr>
          <w:rFonts w:hint="eastAsia" w:ascii="仿宋" w:hAnsi="仿宋" w:eastAsia="仿宋"/>
          <w:b/>
          <w:bCs/>
          <w:color w:val="auto"/>
          <w:sz w:val="44"/>
          <w:szCs w:val="44"/>
          <w:highlight w:val="none"/>
          <w:lang w:val="en-US" w:eastAsia="zh-CN"/>
        </w:rPr>
        <w:t>西侧二期预留土地规划设计项目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6"/>
          <w:szCs w:val="36"/>
          <w:highlight w:val="none"/>
          <w:lang w:val="zh-CN"/>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52"/>
          <w:szCs w:val="52"/>
          <w:highlight w:val="none"/>
          <w:lang w:val="zh-CN"/>
        </w:rPr>
      </w:pPr>
      <w:r>
        <w:rPr>
          <w:rFonts w:hint="default" w:ascii="Times New Roman" w:hAnsi="Times New Roman" w:eastAsia="仿宋_GB2312" w:cs="Times New Roman"/>
          <w:b/>
          <w:bCs/>
          <w:i w:val="0"/>
          <w:iCs w:val="0"/>
          <w:color w:val="auto"/>
          <w:sz w:val="52"/>
          <w:szCs w:val="52"/>
          <w:highlight w:val="none"/>
          <w:lang w:val="zh-CN"/>
        </w:rPr>
        <w:t>竞争性磋商文件</w:t>
      </w:r>
    </w:p>
    <w:p>
      <w:pPr>
        <w:pStyle w:val="2"/>
        <w:jc w:val="center"/>
        <w:rPr>
          <w:rFonts w:hint="default"/>
          <w:lang w:val="zh-CN"/>
        </w:rPr>
      </w:pPr>
      <w:r>
        <w:rPr>
          <w:rFonts w:hint="eastAsia" w:ascii="Times New Roman" w:hAnsi="Times New Roman" w:eastAsia="仿宋_GB2312" w:cs="Times New Roman"/>
          <w:b/>
          <w:bCs/>
          <w:i w:val="0"/>
          <w:iCs w:val="0"/>
          <w:color w:val="auto"/>
          <w:sz w:val="52"/>
          <w:szCs w:val="52"/>
          <w:highlight w:val="none"/>
          <w:lang w:val="zh-CN"/>
        </w:rPr>
        <w:t>（</w:t>
      </w:r>
      <w:r>
        <w:rPr>
          <w:rFonts w:hint="eastAsia" w:ascii="Times New Roman" w:hAnsi="Times New Roman" w:eastAsia="仿宋_GB2312" w:cs="Times New Roman"/>
          <w:b/>
          <w:bCs/>
          <w:i w:val="0"/>
          <w:iCs w:val="0"/>
          <w:color w:val="auto"/>
          <w:sz w:val="52"/>
          <w:szCs w:val="52"/>
          <w:highlight w:val="none"/>
          <w:lang w:val="en-US" w:eastAsia="zh-CN"/>
        </w:rPr>
        <w:t>二次</w:t>
      </w:r>
      <w:r>
        <w:rPr>
          <w:rFonts w:hint="eastAsia" w:ascii="Times New Roman" w:hAnsi="Times New Roman" w:eastAsia="仿宋_GB2312" w:cs="Times New Roman"/>
          <w:b/>
          <w:bCs/>
          <w:i w:val="0"/>
          <w:iCs w:val="0"/>
          <w:color w:val="auto"/>
          <w:sz w:val="52"/>
          <w:szCs w:val="52"/>
          <w:highlight w:val="none"/>
          <w:lang w:val="zh-CN"/>
        </w:rPr>
        <w:t>）</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50"/>
          <w:szCs w:val="50"/>
          <w:highlight w:val="none"/>
        </w:rPr>
      </w:pPr>
    </w:p>
    <w:p>
      <w:pPr>
        <w:tabs>
          <w:tab w:val="left" w:pos="5670"/>
        </w:tabs>
        <w:autoSpaceDE w:val="0"/>
        <w:autoSpaceDN w:val="0"/>
        <w:adjustRightInd w:val="0"/>
        <w:snapToGrid w:val="0"/>
        <w:spacing w:line="360" w:lineRule="auto"/>
        <w:jc w:val="both"/>
        <w:rPr>
          <w:rFonts w:hint="default" w:ascii="Times New Roman" w:hAnsi="Times New Roman" w:eastAsia="仿宋_GB2312" w:cs="Times New Roman"/>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0"/>
          <w:szCs w:val="30"/>
          <w:highlight w:val="none"/>
        </w:rPr>
      </w:pPr>
    </w:p>
    <w:p>
      <w:pPr>
        <w:pStyle w:val="24"/>
        <w:rPr>
          <w:rFonts w:hint="default" w:ascii="Times New Roman" w:hAnsi="Times New Roman" w:eastAsia="仿宋_GB2312" w:cs="Times New Roman"/>
          <w:b/>
          <w:bCs/>
          <w:i w:val="0"/>
          <w:iCs w:val="0"/>
          <w:color w:val="auto"/>
          <w:sz w:val="30"/>
          <w:szCs w:val="30"/>
          <w:highlight w:val="none"/>
        </w:rPr>
      </w:pPr>
    </w:p>
    <w:p>
      <w:pPr>
        <w:pStyle w:val="24"/>
        <w:rPr>
          <w:rFonts w:hint="default" w:ascii="Times New Roman" w:hAnsi="Times New Roman" w:eastAsia="仿宋_GB2312" w:cs="Times New Roman"/>
          <w:b/>
          <w:bCs/>
          <w:i w:val="0"/>
          <w:iCs w:val="0"/>
          <w:color w:val="auto"/>
          <w:sz w:val="30"/>
          <w:szCs w:val="30"/>
          <w:highlight w:val="none"/>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720" w:lineRule="auto"/>
        <w:jc w:val="center"/>
        <w:textAlignment w:val="auto"/>
        <w:rPr>
          <w:rFonts w:hint="default" w:ascii="Times New Roman" w:hAnsi="Times New Roman" w:eastAsia="仿宋_GB2312" w:cs="Times New Roman"/>
          <w:b/>
          <w:bCs/>
          <w:i w:val="0"/>
          <w:iCs w:val="0"/>
          <w:color w:val="auto"/>
          <w:sz w:val="30"/>
          <w:szCs w:val="30"/>
          <w:highlight w:val="none"/>
          <w:lang w:val="zh-CN"/>
        </w:rPr>
      </w:pPr>
      <w:r>
        <w:rPr>
          <w:rFonts w:hint="default" w:ascii="Times New Roman" w:hAnsi="Times New Roman" w:eastAsia="仿宋_GB2312" w:cs="Times New Roman"/>
          <w:b/>
          <w:bCs/>
          <w:i w:val="0"/>
          <w:iCs w:val="0"/>
          <w:color w:val="auto"/>
          <w:sz w:val="30"/>
          <w:szCs w:val="30"/>
          <w:highlight w:val="none"/>
          <w:lang w:val="zh-CN"/>
        </w:rPr>
        <w:t>二〇</w:t>
      </w:r>
      <w:r>
        <w:rPr>
          <w:rFonts w:hint="eastAsia" w:eastAsia="仿宋_GB2312" w:cs="Times New Roman"/>
          <w:b/>
          <w:bCs/>
          <w:i w:val="0"/>
          <w:iCs w:val="0"/>
          <w:color w:val="auto"/>
          <w:sz w:val="30"/>
          <w:szCs w:val="30"/>
          <w:highlight w:val="none"/>
          <w:lang w:val="en-US" w:eastAsia="zh-CN"/>
        </w:rPr>
        <w:t>二四</w:t>
      </w:r>
      <w:r>
        <w:rPr>
          <w:rFonts w:hint="default" w:ascii="Times New Roman" w:hAnsi="Times New Roman" w:eastAsia="仿宋_GB2312" w:cs="Times New Roman"/>
          <w:b/>
          <w:bCs/>
          <w:i w:val="0"/>
          <w:iCs w:val="0"/>
          <w:color w:val="auto"/>
          <w:sz w:val="30"/>
          <w:szCs w:val="30"/>
          <w:highlight w:val="none"/>
          <w:lang w:val="zh-CN"/>
        </w:rPr>
        <w:t>年</w:t>
      </w:r>
      <w:r>
        <w:rPr>
          <w:rFonts w:hint="eastAsia" w:eastAsia="仿宋_GB2312" w:cs="Times New Roman"/>
          <w:b/>
          <w:bCs/>
          <w:i w:val="0"/>
          <w:iCs w:val="0"/>
          <w:color w:val="auto"/>
          <w:sz w:val="30"/>
          <w:szCs w:val="30"/>
          <w:highlight w:val="none"/>
          <w:lang w:val="en-US" w:eastAsia="zh-CN"/>
        </w:rPr>
        <w:t>四</w:t>
      </w:r>
      <w:r>
        <w:rPr>
          <w:rFonts w:hint="default" w:ascii="Times New Roman" w:hAnsi="Times New Roman" w:eastAsia="仿宋_GB2312" w:cs="Times New Roman"/>
          <w:b/>
          <w:bCs/>
          <w:i w:val="0"/>
          <w:iCs w:val="0"/>
          <w:color w:val="auto"/>
          <w:sz w:val="30"/>
          <w:szCs w:val="30"/>
          <w:highlight w:val="none"/>
          <w:lang w:val="zh-CN"/>
        </w:rPr>
        <w:t>月</w:t>
      </w:r>
    </w:p>
    <w:p>
      <w:pPr>
        <w:tabs>
          <w:tab w:val="left" w:pos="3739"/>
        </w:tabs>
        <w:jc w:val="left"/>
        <w:rPr>
          <w:rFonts w:hint="default" w:ascii="Times New Roman" w:hAnsi="Times New Roman" w:cs="Times New Roman"/>
          <w:i w:val="0"/>
          <w:iCs w:val="0"/>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15"/>
        <w:ind w:firstLine="0" w:firstLineChars="0"/>
        <w:jc w:val="center"/>
        <w:rPr>
          <w:rFonts w:hint="default" w:ascii="Times New Roman" w:hAnsi="Times New Roman" w:eastAsia="仿宋_GB2312" w:cs="Times New Roman"/>
          <w:b/>
          <w:i w:val="0"/>
          <w:iCs w:val="0"/>
          <w:color w:val="auto"/>
          <w:sz w:val="32"/>
          <w:szCs w:val="32"/>
          <w:highlight w:val="none"/>
        </w:rPr>
      </w:pPr>
      <w:r>
        <w:rPr>
          <w:rFonts w:hint="default" w:ascii="Times New Roman" w:hAnsi="Times New Roman" w:eastAsia="仿宋_GB2312" w:cs="Times New Roman"/>
          <w:b/>
          <w:i w:val="0"/>
          <w:iCs w:val="0"/>
          <w:color w:val="auto"/>
          <w:sz w:val="32"/>
          <w:szCs w:val="32"/>
          <w:highlight w:val="none"/>
        </w:rPr>
        <w:t>目  录</w:t>
      </w:r>
    </w:p>
    <w:p>
      <w:pPr>
        <w:pStyle w:val="36"/>
        <w:tabs>
          <w:tab w:val="right" w:leader="dot" w:pos="8306"/>
          <w:tab w:val="clear" w:pos="9344"/>
        </w:tabs>
        <w:rPr>
          <w:rFonts w:hint="eastAsia" w:ascii="仿宋" w:hAnsi="仿宋" w:eastAsia="仿宋" w:cs="仿宋"/>
          <w:color w:val="auto"/>
          <w:sz w:val="21"/>
          <w:szCs w:val="21"/>
          <w:highlight w:val="none"/>
        </w:rPr>
      </w:pPr>
      <w:r>
        <w:rPr>
          <w:rFonts w:hint="default" w:ascii="Times New Roman" w:hAnsi="Times New Roman" w:eastAsia="仿宋_GB2312" w:cs="Times New Roman"/>
          <w:b w:val="0"/>
          <w:bCs w:val="0"/>
          <w:i w:val="0"/>
          <w:iCs w:val="0"/>
          <w:color w:val="auto"/>
          <w:sz w:val="28"/>
          <w:szCs w:val="28"/>
          <w:highlight w:val="none"/>
        </w:rPr>
        <w:fldChar w:fldCharType="begin"/>
      </w:r>
      <w:r>
        <w:rPr>
          <w:rFonts w:hint="default" w:ascii="Times New Roman" w:hAnsi="Times New Roman" w:eastAsia="仿宋_GB2312" w:cs="Times New Roman"/>
          <w:b w:val="0"/>
          <w:bCs w:val="0"/>
          <w:i w:val="0"/>
          <w:iCs w:val="0"/>
          <w:color w:val="auto"/>
          <w:sz w:val="28"/>
          <w:szCs w:val="28"/>
          <w:highlight w:val="none"/>
        </w:rPr>
        <w:instrText xml:space="preserve"> TOC \o "1-2" \h \z \u </w:instrText>
      </w:r>
      <w:r>
        <w:rPr>
          <w:rFonts w:hint="default" w:ascii="Times New Roman" w:hAnsi="Times New Roman" w:eastAsia="仿宋_GB2312" w:cs="Times New Roman"/>
          <w:b w:val="0"/>
          <w:bCs w:val="0"/>
          <w:i w:val="0"/>
          <w:iCs w:val="0"/>
          <w:color w:val="auto"/>
          <w:sz w:val="28"/>
          <w:szCs w:val="28"/>
          <w:highlight w:val="none"/>
        </w:rPr>
        <w:fldChar w:fldCharType="separate"/>
      </w:r>
      <w:r>
        <w:rPr>
          <w:rFonts w:hint="eastAsia" w:ascii="仿宋" w:hAnsi="仿宋" w:eastAsia="仿宋" w:cs="仿宋"/>
          <w:bCs w:val="0"/>
          <w:i w:val="0"/>
          <w:iCs w:val="0"/>
          <w:color w:val="auto"/>
          <w:sz w:val="21"/>
          <w:szCs w:val="21"/>
          <w:highlight w:val="none"/>
        </w:rPr>
        <w:fldChar w:fldCharType="begin"/>
      </w:r>
      <w:r>
        <w:rPr>
          <w:rFonts w:hint="eastAsia" w:ascii="仿宋" w:hAnsi="仿宋" w:eastAsia="仿宋" w:cs="仿宋"/>
          <w:bCs w:val="0"/>
          <w:i w:val="0"/>
          <w:iCs w:val="0"/>
          <w:color w:val="auto"/>
          <w:sz w:val="21"/>
          <w:szCs w:val="21"/>
          <w:highlight w:val="none"/>
        </w:rPr>
        <w:instrText xml:space="preserve"> HYPERLINK \l _Toc22094 </w:instrText>
      </w:r>
      <w:r>
        <w:rPr>
          <w:rFonts w:hint="eastAsia" w:ascii="仿宋" w:hAnsi="仿宋" w:eastAsia="仿宋" w:cs="仿宋"/>
          <w:bCs w:val="0"/>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第一章  磋商公告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_Toc22094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rPr>
        <w:fldChar w:fldCharType="end"/>
      </w:r>
      <w:r>
        <w:rPr>
          <w:rFonts w:hint="eastAsia" w:ascii="仿宋" w:hAnsi="仿宋" w:eastAsia="仿宋" w:cs="仿宋"/>
          <w:bCs w:val="0"/>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_Toc12956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第二章  供应商须知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_Toc12956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_Toc9599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（一）供应商须知前附表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_Toc9599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_Toc9251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（二）供应商须知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_Toc9251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_Toc5697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一、总  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_Toc5697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_Toc23030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二、磋商文件说明</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_Toc23030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_Toc21532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三、响应文件的编写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_Toc21532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_Toc7050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四、响应文件的密封和递交</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_Toc7050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_Toc21138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五、评审与磋商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_Toc21138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_Toc14512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六、确定成交单位、授予合同</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_Toc14512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_Toc2850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第三章  评审办法和标准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_Toc2850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_Toc21019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1.评审方法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_Toc21019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_Toc7221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2.评审标准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_Toc7221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40"/>
        <w:tabs>
          <w:tab w:val="right" w:leader="dot" w:pos="8306"/>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_Toc4867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3.评审程序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_Toc4867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_Toc22711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第四章  拟签订的合同文本</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_Toc22711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_Toc19699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第五章  采购内容及要求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_Toc19699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23</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pStyle w:val="36"/>
        <w:tabs>
          <w:tab w:val="right" w:leader="dot" w:pos="8306"/>
          <w:tab w:val="clear" w:pos="9344"/>
        </w:tabs>
        <w:rPr>
          <w:color w:val="auto"/>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\l _Toc5413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第六章 磋商响应文件格式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_Toc5413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24</w:t>
      </w:r>
      <w:r>
        <w:rPr>
          <w:rFonts w:hint="eastAsia" w:ascii="仿宋" w:hAnsi="仿宋" w:eastAsia="仿宋" w:cs="仿宋"/>
          <w:color w:val="auto"/>
          <w:sz w:val="21"/>
          <w:szCs w:val="21"/>
          <w:highlight w:val="none"/>
        </w:rPr>
        <w:fldChar w:fldCharType="end"/>
      </w:r>
      <w:r>
        <w:rPr>
          <w:rFonts w:hint="eastAsia" w:ascii="仿宋" w:hAnsi="仿宋" w:eastAsia="仿宋" w:cs="仿宋"/>
          <w:i w:val="0"/>
          <w:iCs w:val="0"/>
          <w:color w:val="auto"/>
          <w:sz w:val="21"/>
          <w:szCs w:val="21"/>
          <w:highlight w:val="none"/>
        </w:rPr>
        <w:fldChar w:fldCharType="end"/>
      </w:r>
    </w:p>
    <w:p>
      <w:pPr>
        <w:tabs>
          <w:tab w:val="center" w:pos="4677"/>
          <w:tab w:val="left" w:pos="5040"/>
        </w:tabs>
        <w:adjustRightInd w:val="0"/>
        <w:snapToGrid w:val="0"/>
        <w:spacing w:line="360" w:lineRule="auto"/>
        <w:jc w:val="left"/>
        <w:rPr>
          <w:rFonts w:hint="default" w:ascii="Times New Roman" w:hAnsi="Times New Roman" w:eastAsia="仿宋_GB2312" w:cs="Times New Roman"/>
          <w:i w:val="0"/>
          <w:iCs w:val="0"/>
          <w:color w:val="auto"/>
          <w:szCs w:val="20"/>
          <w:highlight w:val="none"/>
        </w:rPr>
      </w:pPr>
      <w:r>
        <w:rPr>
          <w:rFonts w:hint="default" w:ascii="Times New Roman" w:hAnsi="Times New Roman" w:eastAsia="仿宋_GB2312" w:cs="Times New Roman"/>
          <w:i w:val="0"/>
          <w:iCs w:val="0"/>
          <w:color w:val="auto"/>
          <w:szCs w:val="28"/>
          <w:highlight w:val="none"/>
        </w:rPr>
        <w:fldChar w:fldCharType="end"/>
      </w:r>
    </w:p>
    <w:p>
      <w:pPr>
        <w:rPr>
          <w:rFonts w:hint="default" w:ascii="Times New Roman" w:hAnsi="Times New Roman" w:eastAsia="仿宋_GB2312" w:cs="Times New Roman"/>
          <w:i w:val="0"/>
          <w:iCs w:val="0"/>
          <w:color w:val="auto"/>
          <w:szCs w:val="20"/>
          <w:highlight w:val="none"/>
        </w:rPr>
      </w:pPr>
      <w:r>
        <w:rPr>
          <w:rFonts w:hint="default" w:ascii="Times New Roman" w:hAnsi="Times New Roman" w:eastAsia="仿宋_GB2312" w:cs="Times New Roman"/>
          <w:i w:val="0"/>
          <w:iCs w:val="0"/>
          <w:color w:val="auto"/>
          <w:szCs w:val="20"/>
          <w:highlight w:val="none"/>
        </w:rPr>
        <w:br w:type="page"/>
      </w:r>
    </w:p>
    <w:p>
      <w:pPr>
        <w:pStyle w:val="24"/>
        <w:rPr>
          <w:rFonts w:hint="default" w:ascii="Times New Roman" w:hAnsi="Times New Roman" w:cs="Times New Roman"/>
          <w:i w:val="0"/>
          <w:iCs w:val="0"/>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8"/>
          <w:rFonts w:hint="default" w:ascii="Times New Roman" w:hAnsi="Times New Roman" w:eastAsia="宋体" w:cs="Times New Roman"/>
          <w:i w:val="0"/>
          <w:iCs w:val="0"/>
          <w:color w:val="auto"/>
          <w:sz w:val="36"/>
          <w:szCs w:val="36"/>
          <w:highlight w:val="none"/>
        </w:rPr>
      </w:pPr>
      <w:bookmarkStart w:id="0" w:name="_Toc58504445"/>
      <w:bookmarkStart w:id="1" w:name="_Toc22094"/>
      <w:bookmarkStart w:id="2" w:name="_Toc415499894"/>
      <w:bookmarkStart w:id="3" w:name="_Toc21755"/>
      <w:bookmarkStart w:id="4" w:name="_Toc499711041"/>
      <w:bookmarkStart w:id="5" w:name="_Toc500746964"/>
      <w:bookmarkStart w:id="6" w:name="_Toc70687138"/>
      <w:bookmarkStart w:id="7" w:name="_Toc500747187"/>
      <w:bookmarkStart w:id="8" w:name="_Toc177189234"/>
      <w:bookmarkStart w:id="9" w:name="_Toc503063420"/>
      <w:bookmarkStart w:id="10" w:name="_Toc176882541"/>
      <w:bookmarkStart w:id="11" w:name="_Toc500747060"/>
      <w:bookmarkStart w:id="12" w:name="_Toc53722839"/>
      <w:bookmarkStart w:id="13" w:name="_Toc499711882"/>
      <w:bookmarkStart w:id="14" w:name="_Toc496324577"/>
      <w:bookmarkStart w:id="15" w:name="_Toc492955413"/>
      <w:bookmarkStart w:id="16" w:name="_Toc177995472"/>
      <w:bookmarkStart w:id="17" w:name="_Toc177817333"/>
      <w:bookmarkStart w:id="18" w:name="_Toc385992325"/>
      <w:bookmarkStart w:id="19" w:name="_Toc385992324"/>
      <w:r>
        <w:rPr>
          <w:rStyle w:val="208"/>
          <w:rFonts w:hint="default" w:ascii="Times New Roman" w:hAnsi="Times New Roman" w:eastAsia="宋体" w:cs="Times New Roman"/>
          <w:i w:val="0"/>
          <w:iCs w:val="0"/>
          <w:color w:val="auto"/>
          <w:sz w:val="36"/>
          <w:szCs w:val="36"/>
          <w:highlight w:val="none"/>
        </w:rPr>
        <w:t>第一章  磋商公告</w:t>
      </w:r>
      <w:bookmarkEnd w:id="0"/>
      <w:bookmarkEnd w:id="1"/>
      <w:bookmarkEnd w:id="2"/>
      <w:bookmarkEnd w:id="3"/>
    </w:p>
    <w:p>
      <w:pPr>
        <w:keepNext w:val="0"/>
        <w:keepLines w:val="0"/>
        <w:pageBreakBefore w:val="0"/>
        <w:kinsoku/>
        <w:wordWrap/>
        <w:overflowPunct/>
        <w:topLinePunct w:val="0"/>
        <w:autoSpaceDE/>
        <w:autoSpaceDN/>
        <w:bidi w:val="0"/>
        <w:adjustRightInd/>
        <w:spacing w:line="430" w:lineRule="exact"/>
        <w:jc w:val="center"/>
        <w:textAlignment w:val="auto"/>
        <w:rPr>
          <w:rFonts w:hint="eastAsia" w:ascii="仿宋" w:hAnsi="仿宋" w:eastAsia="仿宋" w:cs="仿宋"/>
          <w:b/>
          <w:i w:val="0"/>
          <w:iCs w:val="0"/>
          <w:color w:val="auto"/>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陕西中医药大学第二附属医院迁建医院项目</w:t>
      </w:r>
    </w:p>
    <w:p>
      <w:pPr>
        <w:keepNext w:val="0"/>
        <w:keepLines w:val="0"/>
        <w:pageBreakBefore w:val="0"/>
        <w:kinsoku/>
        <w:wordWrap/>
        <w:overflowPunct/>
        <w:topLinePunct w:val="0"/>
        <w:autoSpaceDE/>
        <w:autoSpaceDN/>
        <w:bidi w:val="0"/>
        <w:adjustRightInd/>
        <w:spacing w:line="430" w:lineRule="exact"/>
        <w:jc w:val="center"/>
        <w:textAlignment w:val="auto"/>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val="en-US" w:eastAsia="zh-CN"/>
        </w:rPr>
        <w:t>西侧二期预留土地规划设计项目</w:t>
      </w:r>
      <w:r>
        <w:rPr>
          <w:rFonts w:hint="eastAsia" w:ascii="仿宋" w:hAnsi="仿宋" w:eastAsia="仿宋" w:cs="仿宋"/>
          <w:b/>
          <w:i w:val="0"/>
          <w:iCs w:val="0"/>
          <w:color w:val="auto"/>
          <w:sz w:val="21"/>
          <w:szCs w:val="21"/>
          <w:highlight w:val="none"/>
        </w:rPr>
        <w:t>竞争性磋商公告</w:t>
      </w:r>
      <w:r>
        <w:rPr>
          <w:rFonts w:hint="eastAsia" w:ascii="仿宋" w:hAnsi="仿宋" w:eastAsia="仿宋" w:cs="仿宋"/>
          <w:b/>
          <w:i w:val="0"/>
          <w:iCs w:val="0"/>
          <w:color w:val="auto"/>
          <w:sz w:val="21"/>
          <w:szCs w:val="21"/>
          <w:highlight w:val="none"/>
          <w:lang w:eastAsia="zh-CN"/>
        </w:rPr>
        <w:t>（</w:t>
      </w:r>
      <w:r>
        <w:rPr>
          <w:rFonts w:hint="eastAsia" w:ascii="仿宋" w:hAnsi="仿宋" w:eastAsia="仿宋" w:cs="仿宋"/>
          <w:b/>
          <w:i w:val="0"/>
          <w:iCs w:val="0"/>
          <w:color w:val="auto"/>
          <w:sz w:val="21"/>
          <w:szCs w:val="21"/>
          <w:highlight w:val="none"/>
          <w:lang w:val="en-US" w:eastAsia="zh-CN"/>
        </w:rPr>
        <w:t>二次</w:t>
      </w:r>
      <w:r>
        <w:rPr>
          <w:rFonts w:hint="eastAsia" w:ascii="仿宋" w:hAnsi="仿宋" w:eastAsia="仿宋" w:cs="仿宋"/>
          <w:b/>
          <w:i w:val="0"/>
          <w:i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i w:val="0"/>
          <w:iCs w:val="0"/>
          <w:color w:val="auto"/>
          <w:kern w:val="0"/>
          <w:sz w:val="21"/>
          <w:szCs w:val="21"/>
          <w:highlight w:val="none"/>
          <w:u w:val="single"/>
          <w:lang w:val="zh-CN"/>
        </w:rPr>
      </w:pPr>
      <w:r>
        <w:rPr>
          <w:rFonts w:hint="eastAsia" w:ascii="仿宋" w:hAnsi="仿宋" w:eastAsia="仿宋" w:cs="仿宋"/>
          <w:i w:val="0"/>
          <w:iCs w:val="0"/>
          <w:color w:val="auto"/>
          <w:kern w:val="0"/>
          <w:sz w:val="21"/>
          <w:szCs w:val="21"/>
          <w:highlight w:val="none"/>
          <w:lang w:val="zh-CN"/>
        </w:rPr>
        <w:t>项目概况：</w:t>
      </w:r>
    </w:p>
    <w:p>
      <w:pPr>
        <w:keepNext w:val="0"/>
        <w:keepLines w:val="0"/>
        <w:pageBreakBefore w:val="0"/>
        <w:kinsoku/>
        <w:wordWrap/>
        <w:overflowPunct/>
        <w:topLinePunct w:val="0"/>
        <w:autoSpaceDE/>
        <w:autoSpaceDN/>
        <w:bidi w:val="0"/>
        <w:adjustRightInd/>
        <w:spacing w:line="430" w:lineRule="exact"/>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 xml:space="preserve">    </w:t>
      </w:r>
      <w:r>
        <w:rPr>
          <w:rFonts w:hint="eastAsia" w:ascii="仿宋" w:hAnsi="仿宋" w:eastAsia="仿宋" w:cs="仿宋"/>
          <w:i w:val="0"/>
          <w:iCs w:val="0"/>
          <w:color w:val="auto"/>
          <w:kern w:val="0"/>
          <w:sz w:val="21"/>
          <w:szCs w:val="21"/>
          <w:highlight w:val="none"/>
          <w:lang w:val="en-US" w:eastAsia="zh-CN"/>
        </w:rPr>
        <w:t>陕西中医药大学第二附属医院迁建医院项目西侧二期预留土地规划设计项目邀请</w:t>
      </w:r>
      <w:r>
        <w:rPr>
          <w:rFonts w:hint="eastAsia" w:ascii="仿宋" w:hAnsi="仿宋" w:eastAsia="仿宋" w:cs="仿宋"/>
          <w:i w:val="0"/>
          <w:iCs w:val="0"/>
          <w:color w:val="auto"/>
          <w:kern w:val="0"/>
          <w:sz w:val="21"/>
          <w:szCs w:val="21"/>
          <w:highlight w:val="none"/>
        </w:rPr>
        <w:t>潜在供应商</w:t>
      </w:r>
      <w:r>
        <w:rPr>
          <w:rFonts w:hint="eastAsia" w:ascii="仿宋" w:hAnsi="仿宋" w:eastAsia="仿宋" w:cs="仿宋"/>
          <w:i w:val="0"/>
          <w:iCs w:val="0"/>
          <w:color w:val="auto"/>
          <w:kern w:val="0"/>
          <w:sz w:val="21"/>
          <w:szCs w:val="21"/>
          <w:highlight w:val="none"/>
          <w:lang w:val="en-US" w:eastAsia="zh-CN"/>
        </w:rPr>
        <w:t>参与竞争性磋商，竞争性磋商文件在本公告附件中自行获取。</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一、项目基本情况：</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1、项目编号：</w:t>
      </w:r>
      <w:r>
        <w:rPr>
          <w:rFonts w:hint="eastAsia" w:ascii="仿宋" w:hAnsi="仿宋" w:eastAsia="仿宋" w:cs="仿宋"/>
          <w:i w:val="0"/>
          <w:iCs w:val="0"/>
          <w:color w:val="auto"/>
          <w:kern w:val="0"/>
          <w:sz w:val="21"/>
          <w:szCs w:val="21"/>
          <w:highlight w:val="none"/>
          <w:lang w:val="en-US" w:eastAsia="zh-CN"/>
        </w:rPr>
        <w:t xml:space="preserve"> </w:t>
      </w:r>
      <w:r>
        <w:rPr>
          <w:rFonts w:hint="eastAsia" w:ascii="仿宋" w:hAnsi="仿宋" w:eastAsia="仿宋" w:cs="仿宋"/>
          <w:i w:val="0"/>
          <w:iCs w:val="0"/>
          <w:color w:val="auto"/>
          <w:sz w:val="21"/>
          <w:szCs w:val="21"/>
          <w:highlight w:val="none"/>
          <w:lang w:val="en-US" w:eastAsia="zh-CN"/>
        </w:rPr>
        <w:t>SZRFYZB202312-153</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 xml:space="preserve">2、项目名称： </w:t>
      </w:r>
      <w:r>
        <w:rPr>
          <w:rFonts w:hint="eastAsia" w:ascii="仿宋" w:hAnsi="仿宋" w:eastAsia="仿宋" w:cs="仿宋"/>
          <w:i w:val="0"/>
          <w:iCs w:val="0"/>
          <w:color w:val="auto"/>
          <w:kern w:val="0"/>
          <w:sz w:val="21"/>
          <w:szCs w:val="21"/>
          <w:highlight w:val="none"/>
          <w:lang w:val="en-US" w:eastAsia="zh-CN"/>
        </w:rPr>
        <w:t>陕西中医药大学第二附属医院迁建医院项目西侧二期预留土地规划设计项目</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3、</w:t>
      </w:r>
      <w:r>
        <w:rPr>
          <w:rFonts w:hint="eastAsia" w:ascii="仿宋" w:hAnsi="仿宋" w:eastAsia="仿宋" w:cs="仿宋"/>
          <w:i w:val="0"/>
          <w:iCs w:val="0"/>
          <w:color w:val="auto"/>
          <w:kern w:val="0"/>
          <w:sz w:val="21"/>
          <w:szCs w:val="21"/>
          <w:highlight w:val="none"/>
          <w:lang w:eastAsia="zh-CN"/>
        </w:rPr>
        <w:t>采购方式：竞争性磋商</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预算金额：</w:t>
      </w:r>
      <w:r>
        <w:rPr>
          <w:rFonts w:hint="eastAsia" w:ascii="仿宋" w:hAnsi="仿宋" w:eastAsia="仿宋" w:cs="仿宋"/>
          <w:i w:val="0"/>
          <w:iCs w:val="0"/>
          <w:color w:val="auto"/>
          <w:kern w:val="0"/>
          <w:sz w:val="21"/>
          <w:szCs w:val="21"/>
          <w:highlight w:val="none"/>
          <w:lang w:val="en-US" w:eastAsia="zh-CN"/>
        </w:rPr>
        <w:t>200000.00</w:t>
      </w:r>
      <w:r>
        <w:rPr>
          <w:rFonts w:hint="eastAsia" w:ascii="仿宋" w:hAnsi="仿宋" w:eastAsia="仿宋" w:cs="仿宋"/>
          <w:i w:val="0"/>
          <w:iCs w:val="0"/>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eastAsia="zh-CN"/>
        </w:rPr>
        <w:t>采购需求：</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陕西中医药大学第二附属医院迁建医院项目西侧二期预留土地规划设计项目，该项目位于西咸新区沣西新城龙台观路831号，</w:t>
      </w:r>
      <w:r>
        <w:rPr>
          <w:rFonts w:hint="eastAsia" w:ascii="仿宋" w:hAnsi="仿宋" w:eastAsia="仿宋" w:cs="仿宋"/>
          <w:i w:val="0"/>
          <w:iCs w:val="0"/>
          <w:color w:val="auto"/>
          <w:kern w:val="0"/>
          <w:sz w:val="21"/>
          <w:szCs w:val="21"/>
          <w:highlight w:val="none"/>
          <w:lang w:val="en-US" w:eastAsia="zh-CN"/>
        </w:rPr>
        <w:t>迁建医院项目西侧二期预留土地面积约49.7亩，占地面积约为3.3万㎡，现需对该区域重新进行规划设计，设计范围包括但不限于：教学区域总平面规划方案设计、配套建筑设计、</w:t>
      </w:r>
      <w:r>
        <w:rPr>
          <w:rFonts w:hint="eastAsia" w:ascii="仿宋" w:hAnsi="仿宋" w:eastAsia="仿宋" w:cs="仿宋"/>
          <w:i w:val="0"/>
          <w:iCs w:val="0"/>
          <w:color w:val="auto"/>
          <w:kern w:val="0"/>
          <w:sz w:val="21"/>
          <w:szCs w:val="21"/>
          <w:highlight w:val="none"/>
          <w:lang w:val="en-US" w:eastAsia="zh-CN" w:bidi="ar-SA"/>
        </w:rPr>
        <w:t>景观规划（含海绵城市规划）</w:t>
      </w:r>
      <w:r>
        <w:rPr>
          <w:rFonts w:hint="eastAsia" w:ascii="仿宋" w:hAnsi="仿宋" w:eastAsia="仿宋" w:cs="仿宋"/>
          <w:i w:val="0"/>
          <w:iCs w:val="0"/>
          <w:color w:val="auto"/>
          <w:kern w:val="0"/>
          <w:sz w:val="21"/>
          <w:szCs w:val="21"/>
          <w:highlight w:val="none"/>
          <w:lang w:val="en-US" w:eastAsia="zh-CN"/>
        </w:rPr>
        <w:t>、室外环境设施、交通规划设计等。规划设计时应统一考虑院区地块内已建设部分、即将建设部分及本次规划设计部分，并满足陕西省西咸新区沣西新城相应地块规划条件。</w:t>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 xml:space="preserve">合同履行期限：30日历天   </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二</w:t>
      </w:r>
      <w:r>
        <w:rPr>
          <w:rFonts w:hint="eastAsia" w:ascii="仿宋" w:hAnsi="仿宋" w:eastAsia="仿宋" w:cs="仿宋"/>
          <w:b/>
          <w:bCs/>
          <w:i w:val="0"/>
          <w:iCs w:val="0"/>
          <w:color w:val="auto"/>
          <w:kern w:val="0"/>
          <w:sz w:val="21"/>
          <w:szCs w:val="21"/>
          <w:highlight w:val="none"/>
        </w:rPr>
        <w:t>、</w:t>
      </w:r>
      <w:r>
        <w:rPr>
          <w:rFonts w:hint="eastAsia" w:ascii="仿宋" w:hAnsi="仿宋" w:eastAsia="仿宋" w:cs="仿宋"/>
          <w:b/>
          <w:bCs/>
          <w:i w:val="0"/>
          <w:iCs w:val="0"/>
          <w:color w:val="auto"/>
          <w:kern w:val="0"/>
          <w:sz w:val="21"/>
          <w:szCs w:val="21"/>
          <w:highlight w:val="none"/>
          <w:lang w:eastAsia="zh-CN"/>
        </w:rPr>
        <w:t>获取采购</w:t>
      </w:r>
      <w:r>
        <w:rPr>
          <w:rFonts w:hint="eastAsia" w:ascii="仿宋" w:hAnsi="仿宋" w:eastAsia="仿宋" w:cs="仿宋"/>
          <w:b/>
          <w:bCs/>
          <w:i w:val="0"/>
          <w:iCs w:val="0"/>
          <w:color w:val="auto"/>
          <w:kern w:val="0"/>
          <w:sz w:val="21"/>
          <w:szCs w:val="21"/>
          <w:highlight w:val="none"/>
        </w:rPr>
        <w:t>文件</w:t>
      </w:r>
      <w:r>
        <w:rPr>
          <w:rFonts w:hint="eastAsia" w:ascii="仿宋" w:hAnsi="仿宋" w:eastAsia="仿宋" w:cs="仿宋"/>
          <w:b/>
          <w:bCs/>
          <w:i w:val="0"/>
          <w:iCs w:val="0"/>
          <w:color w:val="auto"/>
          <w:kern w:val="0"/>
          <w:sz w:val="21"/>
          <w:szCs w:val="21"/>
          <w:highlight w:val="none"/>
          <w:lang w:val="en-US" w:eastAsia="zh-CN"/>
        </w:rPr>
        <w:tab/>
      </w:r>
    </w:p>
    <w:p>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lang w:val="en-US" w:eastAsia="zh-CN"/>
        </w:rPr>
      </w:pPr>
      <w:r>
        <w:rPr>
          <w:rFonts w:hint="eastAsia" w:ascii="仿宋" w:hAnsi="仿宋" w:eastAsia="仿宋" w:cs="仿宋"/>
          <w:i w:val="0"/>
          <w:iCs w:val="0"/>
          <w:color w:val="auto"/>
          <w:kern w:val="0"/>
          <w:sz w:val="21"/>
          <w:szCs w:val="21"/>
          <w:highlight w:val="none"/>
        </w:rPr>
        <w:t>方式：</w:t>
      </w:r>
      <w:r>
        <w:rPr>
          <w:rFonts w:hint="eastAsia" w:ascii="仿宋" w:hAnsi="仿宋" w:eastAsia="仿宋" w:cs="仿宋"/>
          <w:i w:val="0"/>
          <w:iCs w:val="0"/>
          <w:color w:val="auto"/>
          <w:kern w:val="0"/>
          <w:sz w:val="21"/>
          <w:szCs w:val="21"/>
          <w:highlight w:val="none"/>
          <w:lang w:val="en-US" w:eastAsia="zh-CN"/>
        </w:rPr>
        <w:t>在本公告附件中自行获取</w:t>
      </w:r>
    </w:p>
    <w:p>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三、报名需提供以下资质：</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 xml:space="preserve"> 1、须具备独立法人资格，需提供营业执照、税务登记证、组织机构代码证、或三证合一的营业执照（原件及复印件）；</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2、法人授权书原件（法人身份证、被授权人身份证复印件）；</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3、投标商须未被列入“信用中国”网站（www.creditchina.gov.cn）失信被执行人（以截图打印并加盖单位鲜章为准）；</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4、以上复印件均须加盖单位鲜章（不接受电脑扫描件作为原件资质）。</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5、本项目不允许联合体投标。</w:t>
      </w:r>
    </w:p>
    <w:p>
      <w:pPr>
        <w:keepNext w:val="0"/>
        <w:keepLines w:val="0"/>
        <w:pageBreakBefore w:val="0"/>
        <w:widowControl/>
        <w:kinsoku/>
        <w:wordWrap/>
        <w:overflowPunct/>
        <w:topLinePunct w:val="0"/>
        <w:autoSpaceDE/>
        <w:autoSpaceDN/>
        <w:bidi w:val="0"/>
        <w:adjustRightInd/>
        <w:snapToGrid w:val="0"/>
        <w:spacing w:line="360" w:lineRule="auto"/>
        <w:ind w:left="422" w:right="-197" w:rightChars="-94" w:hanging="422" w:hanging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rPr>
        <w:t>四、报名时间</w:t>
      </w:r>
      <w:r>
        <w:rPr>
          <w:rFonts w:hint="eastAsia" w:ascii="仿宋" w:hAnsi="仿宋" w:eastAsia="仿宋" w:cs="仿宋"/>
          <w:b/>
          <w:bCs/>
          <w:i w:val="0"/>
          <w:iCs w:val="0"/>
          <w:color w:val="auto"/>
          <w:kern w:val="0"/>
          <w:sz w:val="21"/>
          <w:szCs w:val="21"/>
          <w:highlight w:val="none"/>
          <w:lang w:val="en-US" w:eastAsia="zh-CN" w:bidi="ar-SA"/>
        </w:rPr>
        <w:t>：</w:t>
      </w:r>
      <w:r>
        <w:rPr>
          <w:rFonts w:hint="eastAsia" w:ascii="仿宋" w:hAnsi="仿宋" w:eastAsia="仿宋" w:cs="仿宋"/>
          <w:i w:val="0"/>
          <w:iCs w:val="0"/>
          <w:color w:val="auto"/>
          <w:kern w:val="0"/>
          <w:sz w:val="21"/>
          <w:szCs w:val="21"/>
          <w:highlight w:val="none"/>
          <w:lang w:val="en-US" w:eastAsia="zh-CN" w:bidi="ar-SA"/>
        </w:rPr>
        <w:t xml:space="preserve"> 2024年4月24日起至2024年4月29日止（节假日和非工作时间除外），上午8:30-11:00；下午14: 00-16:00。</w:t>
      </w:r>
      <w:bookmarkStart w:id="513" w:name="_GoBack"/>
      <w:bookmarkEnd w:id="513"/>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五、报名地点：</w:t>
      </w:r>
      <w:r>
        <w:rPr>
          <w:rFonts w:hint="eastAsia" w:ascii="仿宋" w:hAnsi="仿宋" w:eastAsia="仿宋" w:cs="仿宋"/>
          <w:i w:val="0"/>
          <w:iCs w:val="0"/>
          <w:color w:val="auto"/>
          <w:kern w:val="0"/>
          <w:sz w:val="21"/>
          <w:szCs w:val="21"/>
          <w:highlight w:val="none"/>
          <w:lang w:val="en-US" w:eastAsia="zh-CN" w:bidi="ar-SA"/>
        </w:rPr>
        <w:t>西咸新区沣西新城龙台观路831号，西咸新区中心医院门诊四层，信息化建设管理科。</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b/>
          <w:bCs/>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六、公开招标会议时间及地点</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1、开标时间： 2024年5月7日上午9:30</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2、开标地点：西咸院区住院部11层1106</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 xml:space="preserve">七、报名费用： </w:t>
      </w:r>
      <w:r>
        <w:rPr>
          <w:rFonts w:hint="eastAsia" w:ascii="仿宋" w:hAnsi="仿宋" w:eastAsia="仿宋" w:cs="仿宋"/>
          <w:i w:val="0"/>
          <w:iCs w:val="0"/>
          <w:color w:val="auto"/>
          <w:kern w:val="0"/>
          <w:sz w:val="21"/>
          <w:szCs w:val="21"/>
          <w:highlight w:val="none"/>
          <w:lang w:val="en-US" w:eastAsia="zh-CN" w:bidi="ar-SA"/>
        </w:rPr>
        <w:t>0元</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八、投标保证金：</w:t>
      </w:r>
      <w:r>
        <w:rPr>
          <w:rFonts w:hint="eastAsia" w:ascii="仿宋" w:hAnsi="仿宋" w:eastAsia="仿宋" w:cs="仿宋"/>
          <w:i w:val="0"/>
          <w:iCs w:val="0"/>
          <w:color w:val="auto"/>
          <w:kern w:val="0"/>
          <w:sz w:val="21"/>
          <w:szCs w:val="21"/>
          <w:highlight w:val="none"/>
          <w:lang w:val="en-US" w:eastAsia="zh-CN" w:bidi="ar-SA"/>
        </w:rPr>
        <w:t>3000元（公对公转账，报名当天缴纳）</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b/>
          <w:bCs/>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九、开户名称及账号：</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开户名称：陕西中医药大学第二附属医院</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账号：61001635208050004866</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开户行名称：建行咸阳渭阳路支行</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十、报名咨询电话：</w:t>
      </w:r>
      <w:r>
        <w:rPr>
          <w:rFonts w:hint="eastAsia" w:ascii="仿宋" w:hAnsi="仿宋" w:eastAsia="仿宋" w:cs="仿宋"/>
          <w:i w:val="0"/>
          <w:iCs w:val="0"/>
          <w:color w:val="auto"/>
          <w:kern w:val="0"/>
          <w:sz w:val="21"/>
          <w:szCs w:val="21"/>
          <w:highlight w:val="none"/>
          <w:lang w:val="en-US" w:eastAsia="zh-CN" w:bidi="ar-SA"/>
        </w:rPr>
        <w:t>029-33350905/18064389226帅老师</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2" w:firstLineChars="200"/>
        <w:jc w:val="left"/>
        <w:textAlignment w:val="auto"/>
        <w:rPr>
          <w:rFonts w:hint="default" w:ascii="仿宋" w:hAnsi="仿宋" w:eastAsia="仿宋" w:cs="仿宋"/>
          <w:i w:val="0"/>
          <w:iCs w:val="0"/>
          <w:color w:val="auto"/>
          <w:kern w:val="0"/>
          <w:sz w:val="21"/>
          <w:szCs w:val="21"/>
          <w:highlight w:val="none"/>
          <w:lang w:val="en-US" w:eastAsia="zh-CN" w:bidi="ar-SA"/>
        </w:rPr>
      </w:pPr>
      <w:r>
        <w:rPr>
          <w:rFonts w:hint="eastAsia" w:ascii="仿宋" w:hAnsi="仿宋" w:eastAsia="仿宋" w:cs="仿宋"/>
          <w:b/>
          <w:bCs/>
          <w:i w:val="0"/>
          <w:iCs w:val="0"/>
          <w:color w:val="auto"/>
          <w:kern w:val="0"/>
          <w:sz w:val="21"/>
          <w:szCs w:val="21"/>
          <w:highlight w:val="none"/>
          <w:lang w:val="en-US" w:eastAsia="zh-CN" w:bidi="ar-SA"/>
        </w:rPr>
        <w:t>业务咨询电话：</w:t>
      </w:r>
      <w:r>
        <w:rPr>
          <w:rFonts w:hint="eastAsia" w:ascii="仿宋" w:hAnsi="仿宋" w:eastAsia="仿宋" w:cs="仿宋"/>
          <w:i w:val="0"/>
          <w:iCs w:val="0"/>
          <w:color w:val="auto"/>
          <w:kern w:val="0"/>
          <w:sz w:val="21"/>
          <w:szCs w:val="21"/>
          <w:highlight w:val="none"/>
          <w:lang w:val="en-US" w:eastAsia="zh-CN" w:bidi="ar-SA"/>
        </w:rPr>
        <w:t>029-33358071 陈老师、贺老师</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default"/>
        </w:rPr>
      </w:pPr>
      <w:r>
        <w:rPr>
          <w:rFonts w:hint="default" w:ascii="仿宋" w:hAnsi="仿宋" w:eastAsia="仿宋" w:cs="仿宋"/>
          <w:i w:val="0"/>
          <w:iCs w:val="0"/>
          <w:color w:val="auto"/>
          <w:kern w:val="0"/>
          <w:sz w:val="21"/>
          <w:szCs w:val="21"/>
          <w:highlight w:val="none"/>
          <w:lang w:val="en-US" w:eastAsia="zh-CN" w:bidi="ar-SA"/>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12956"/>
      <w:bookmarkStart w:id="21" w:name="_Toc230099796"/>
      <w:bookmarkStart w:id="22" w:name="_Toc230583540"/>
      <w:bookmarkStart w:id="23" w:name="_Toc230013631"/>
      <w:bookmarkStart w:id="24" w:name="_Toc256342142"/>
      <w:bookmarkStart w:id="25" w:name="_Toc249515277"/>
      <w:bookmarkStart w:id="26" w:name="_Toc249525158"/>
      <w:bookmarkStart w:id="27" w:name="_Toc249515389"/>
      <w:bookmarkStart w:id="28" w:name="_Toc21126"/>
      <w:bookmarkStart w:id="29" w:name="_Toc58504446"/>
      <w:bookmarkStart w:id="30" w:name="_Toc184043011"/>
      <w:bookmarkStart w:id="31" w:name="_Toc232176271"/>
      <w:bookmarkStart w:id="32" w:name="_Toc415499895"/>
      <w:bookmarkStart w:id="33" w:name="_Toc232395211"/>
      <w:bookmarkStart w:id="34" w:name="_Toc176882542"/>
      <w:bookmarkStart w:id="35" w:name="_Toc230583541"/>
      <w:bookmarkStart w:id="36" w:name="_Toc70687139"/>
      <w:bookmarkStart w:id="37" w:name="_Toc230013632"/>
      <w:bookmarkStart w:id="38" w:name="_Toc249525159"/>
      <w:bookmarkStart w:id="39" w:name="_Toc499711883"/>
      <w:bookmarkStart w:id="40" w:name="_Toc177189235"/>
      <w:bookmarkStart w:id="41" w:name="_Toc184043012"/>
      <w:bookmarkStart w:id="42" w:name="_Toc500747188"/>
      <w:bookmarkStart w:id="43" w:name="_Toc492955414"/>
      <w:bookmarkStart w:id="44" w:name="_Toc496324578"/>
      <w:bookmarkStart w:id="45" w:name="_Toc256342143"/>
      <w:bookmarkStart w:id="46" w:name="_Toc177995473"/>
      <w:bookmarkStart w:id="47" w:name="_Toc503063421"/>
      <w:bookmarkStart w:id="48" w:name="_Toc499711042"/>
      <w:bookmarkStart w:id="49" w:name="_Toc230099797"/>
      <w:bookmarkStart w:id="50" w:name="_Toc53722840"/>
      <w:bookmarkStart w:id="51" w:name="_Toc177817334"/>
      <w:bookmarkStart w:id="52" w:name="_Toc500747061"/>
      <w:bookmarkStart w:id="53" w:name="_Toc232395212"/>
      <w:bookmarkStart w:id="54" w:name="_Toc249515390"/>
      <w:bookmarkStart w:id="55" w:name="_Toc232176272"/>
      <w:bookmarkStart w:id="56" w:name="_Toc500746965"/>
      <w:bookmarkStart w:id="57" w:name="_Toc249515278"/>
    </w:p>
    <w:p>
      <w:pPr>
        <w:keepNext w:val="0"/>
        <w:keepLines w:val="0"/>
        <w:pageBreakBefore w:val="0"/>
        <w:widowControl/>
        <w:kinsoku/>
        <w:wordWrap/>
        <w:overflowPunct/>
        <w:topLinePunct w:val="0"/>
        <w:autoSpaceDE/>
        <w:autoSpaceDN/>
        <w:bidi w:val="0"/>
        <w:adjustRightInd/>
        <w:snapToGrid w:val="0"/>
        <w:spacing w:line="430" w:lineRule="exact"/>
        <w:jc w:val="both"/>
        <w:textAlignment w:val="auto"/>
        <w:rPr>
          <w:rFonts w:hint="default" w:ascii="Times New Roman" w:hAnsi="Times New Roman" w:eastAsia="仿宋_GB2312" w:cs="Times New Roman"/>
          <w:i w:val="0"/>
          <w:iCs w:val="0"/>
          <w:color w:val="auto"/>
          <w:highlight w:val="none"/>
        </w:rPr>
      </w:pPr>
    </w:p>
    <w:p>
      <w:pPr>
        <w:keepNext w:val="0"/>
        <w:keepLines w:val="0"/>
        <w:pageBreakBefore w:val="0"/>
        <w:widowControl/>
        <w:kinsoku/>
        <w:wordWrap/>
        <w:overflowPunct/>
        <w:topLinePunct w:val="0"/>
        <w:autoSpaceDE/>
        <w:autoSpaceDN/>
        <w:bidi w:val="0"/>
        <w:adjustRightInd/>
        <w:snapToGrid w:val="0"/>
        <w:spacing w:line="430" w:lineRule="exact"/>
        <w:jc w:val="center"/>
        <w:textAlignment w:val="auto"/>
        <w:rPr>
          <w:rStyle w:val="208"/>
          <w:rFonts w:hint="default" w:ascii="Times New Roman" w:hAnsi="Times New Roman" w:eastAsia="宋体" w:cs="Times New Roman"/>
          <w:b/>
          <w:bCs/>
          <w:i w:val="0"/>
          <w:iCs w:val="0"/>
          <w:color w:val="auto"/>
          <w:sz w:val="36"/>
          <w:szCs w:val="36"/>
          <w:highlight w:val="none"/>
        </w:rPr>
      </w:pPr>
      <w:r>
        <w:rPr>
          <w:rStyle w:val="208"/>
          <w:rFonts w:hint="default" w:ascii="Times New Roman" w:hAnsi="Times New Roman" w:eastAsia="宋体" w:cs="Times New Roman"/>
          <w:b/>
          <w:bCs/>
          <w:i w:val="0"/>
          <w:iCs w:val="0"/>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82"/>
        <w:spacing w:before="240" w:beforeLines="100" w:after="24"/>
        <w:jc w:val="center"/>
        <w:rPr>
          <w:rFonts w:hint="default" w:ascii="Times New Roman" w:hAnsi="Times New Roman" w:eastAsia="仿宋_GB2312" w:cs="Times New Roman"/>
          <w:i w:val="0"/>
          <w:iCs w:val="0"/>
          <w:color w:val="auto"/>
          <w:sz w:val="21"/>
          <w:szCs w:val="21"/>
          <w:highlight w:val="none"/>
        </w:rPr>
      </w:pPr>
      <w:bookmarkStart w:id="58" w:name="_Toc9599"/>
      <w:r>
        <w:rPr>
          <w:rFonts w:hint="default" w:ascii="Times New Roman" w:hAnsi="Times New Roman" w:eastAsia="仿宋_GB2312" w:cs="Times New Roman"/>
          <w:i w:val="0"/>
          <w:iCs w:val="0"/>
          <w:color w:val="auto"/>
          <w:sz w:val="21"/>
          <w:szCs w:val="21"/>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default" w:ascii="Times New Roman" w:hAnsi="Times New Roman" w:eastAsia="仿宋_GB2312" w:cs="Times New Roman"/>
          <w:i w:val="0"/>
          <w:iCs w:val="0"/>
          <w:color w:val="auto"/>
          <w:sz w:val="21"/>
          <w:szCs w:val="21"/>
          <w:highlight w:val="none"/>
        </w:rPr>
      </w:pPr>
    </w:p>
    <w:p>
      <w:pPr>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本表是对供应商须知的具体补充和修改，如有矛盾，均以本表为准。</w:t>
      </w:r>
    </w:p>
    <w:p>
      <w:pPr>
        <w:ind w:left="720" w:hanging="720" w:hangingChars="343"/>
        <w:rPr>
          <w:rFonts w:hint="default" w:ascii="Times New Roman" w:hAnsi="Times New Roman" w:eastAsia="仿宋_GB2312" w:cs="Times New Roman"/>
          <w:b/>
          <w:i w:val="0"/>
          <w:iCs w:val="0"/>
          <w:color w:val="auto"/>
          <w:sz w:val="20"/>
          <w:szCs w:val="20"/>
          <w:highlight w:val="none"/>
        </w:rPr>
      </w:pPr>
      <w:r>
        <w:rPr>
          <w:rFonts w:hint="default" w:ascii="Times New Roman" w:hAnsi="Times New Roman" w:eastAsia="仿宋_GB2312" w:cs="Times New Roman"/>
          <w:i w:val="0"/>
          <w:iCs w:val="0"/>
          <w:color w:val="auto"/>
          <w:szCs w:val="21"/>
          <w:highlight w:val="none"/>
        </w:rPr>
        <w:t xml:space="preserve">   </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30"/>
              <w:adjustRightInd w:val="0"/>
              <w:snapToGrid w:val="0"/>
              <w:spacing w:line="360" w:lineRule="auto"/>
              <w:jc w:val="center"/>
              <w:rPr>
                <w:rFonts w:hint="eastAsia" w:ascii="仿宋" w:hAnsi="仿宋" w:eastAsia="仿宋" w:cs="仿宋"/>
                <w:b/>
                <w:i w:val="0"/>
                <w:iCs w:val="0"/>
                <w:color w:val="auto"/>
                <w:sz w:val="21"/>
                <w:szCs w:val="21"/>
                <w:highlight w:val="none"/>
              </w:rPr>
            </w:pPr>
            <w:bookmarkStart w:id="59" w:name="_Hlt14560610"/>
            <w:bookmarkEnd w:id="59"/>
            <w:r>
              <w:rPr>
                <w:rFonts w:hint="eastAsia" w:ascii="仿宋" w:hAnsi="仿宋" w:eastAsia="仿宋" w:cs="仿宋"/>
                <w:b/>
                <w:i w:val="0"/>
                <w:iCs w:val="0"/>
                <w:color w:val="auto"/>
                <w:sz w:val="21"/>
                <w:szCs w:val="21"/>
                <w:highlight w:val="none"/>
              </w:rPr>
              <w:t>条款号</w:t>
            </w:r>
          </w:p>
        </w:tc>
        <w:tc>
          <w:tcPr>
            <w:tcW w:w="7992" w:type="dxa"/>
            <w:vAlign w:val="center"/>
          </w:tcPr>
          <w:p>
            <w:pPr>
              <w:pStyle w:val="30"/>
              <w:adjustRightInd w:val="0"/>
              <w:snapToGrid w:val="0"/>
              <w:spacing w:line="360" w:lineRule="auto"/>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1.1</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kern w:val="0"/>
                <w:sz w:val="21"/>
                <w:szCs w:val="21"/>
                <w:highlight w:val="none"/>
                <w:lang w:val="en-US" w:eastAsia="zh-CN"/>
              </w:rPr>
              <w:t>陕西中医药大学第二附属医院迁建医院项目西侧预留土地规划设计项目</w:t>
            </w:r>
          </w:p>
          <w:p>
            <w:pPr>
              <w:pStyle w:val="30"/>
              <w:adjustRightInd w:val="0"/>
              <w:snapToGrid w:val="0"/>
              <w:spacing w:line="360" w:lineRule="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p>
          <w:p>
            <w:pPr>
              <w:pStyle w:val="30"/>
              <w:adjustRightInd w:val="0"/>
              <w:snapToGrid w:val="0"/>
              <w:spacing w:line="360" w:lineRule="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资金来源：</w:t>
            </w:r>
            <w:r>
              <w:rPr>
                <w:rFonts w:hint="eastAsia" w:ascii="仿宋" w:hAnsi="仿宋" w:eastAsia="仿宋" w:cs="仿宋"/>
                <w:i w:val="0"/>
                <w:iCs w:val="0"/>
                <w:color w:val="auto"/>
                <w:sz w:val="21"/>
                <w:szCs w:val="21"/>
                <w:highlight w:val="none"/>
                <w:lang w:val="en-US" w:eastAsia="zh-CN"/>
              </w:rPr>
              <w:t>自筹</w:t>
            </w:r>
          </w:p>
          <w:p>
            <w:pPr>
              <w:pStyle w:val="30"/>
              <w:adjustRightInd w:val="0"/>
              <w:snapToGrid w:val="0"/>
              <w:spacing w:line="36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预算金额：</w:t>
            </w:r>
            <w:r>
              <w:rPr>
                <w:rFonts w:hint="eastAsia" w:ascii="仿宋" w:hAnsi="仿宋" w:eastAsia="仿宋" w:cs="仿宋"/>
                <w:i w:val="0"/>
                <w:iCs w:val="0"/>
                <w:color w:val="auto"/>
                <w:sz w:val="21"/>
                <w:szCs w:val="21"/>
                <w:highlight w:val="none"/>
                <w:lang w:val="en-US" w:eastAsia="zh-CN"/>
              </w:rPr>
              <w:t>200000.00元</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采购方式：竞争性磋商</w:t>
            </w:r>
          </w:p>
          <w:p>
            <w:pPr>
              <w:pStyle w:val="30"/>
              <w:adjustRightInd w:val="0"/>
              <w:snapToGrid w:val="0"/>
              <w:spacing w:line="360" w:lineRule="auto"/>
              <w:rPr>
                <w:rFonts w:hint="eastAsia" w:ascii="仿宋" w:hAnsi="仿宋" w:eastAsia="仿宋" w:cs="仿宋"/>
                <w:i w:val="0"/>
                <w:iCs w:val="0"/>
                <w:color w:val="auto"/>
                <w:sz w:val="21"/>
                <w:szCs w:val="21"/>
                <w:highlight w:val="none"/>
                <w:lang w:val="en-US"/>
              </w:rPr>
            </w:pPr>
            <w:r>
              <w:rPr>
                <w:rFonts w:hint="eastAsia" w:ascii="仿宋" w:hAnsi="仿宋" w:eastAsia="仿宋" w:cs="仿宋"/>
                <w:i w:val="0"/>
                <w:iCs w:val="0"/>
                <w:color w:val="auto"/>
                <w:sz w:val="21"/>
                <w:szCs w:val="21"/>
                <w:highlight w:val="none"/>
              </w:rPr>
              <w:t>采购内容：详见本磋商文件第五章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w:t>
            </w:r>
          </w:p>
        </w:tc>
        <w:tc>
          <w:tcPr>
            <w:tcW w:w="7992" w:type="dxa"/>
            <w:vAlign w:val="center"/>
          </w:tcPr>
          <w:p>
            <w:pPr>
              <w:pStyle w:val="30"/>
              <w:adjustRightInd w:val="0"/>
              <w:snapToGrid w:val="0"/>
              <w:spacing w:line="360" w:lineRule="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采购人：</w:t>
            </w:r>
            <w:r>
              <w:rPr>
                <w:rFonts w:hint="eastAsia" w:ascii="仿宋" w:hAnsi="仿宋" w:eastAsia="仿宋" w:cs="仿宋"/>
                <w:i w:val="0"/>
                <w:iCs w:val="0"/>
                <w:color w:val="auto"/>
                <w:sz w:val="21"/>
                <w:szCs w:val="21"/>
                <w:highlight w:val="none"/>
                <w:lang w:val="en-US" w:eastAsia="zh-CN"/>
              </w:rPr>
              <w:t>陕西中医药大学第二附属医院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lang w:val="en-US" w:eastAsia="zh-CN"/>
              </w:rPr>
              <w:t>2</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邀请供应商的方式：</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（1）发布磋商公告</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（2）采购人和评审专家分别书面推荐的方式邀请不少于3 家</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符合相应资格条件的供应商</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w:t>
            </w:r>
          </w:p>
        </w:tc>
        <w:tc>
          <w:tcPr>
            <w:tcW w:w="7992" w:type="dxa"/>
            <w:vAlign w:val="center"/>
          </w:tcPr>
          <w:p>
            <w:pPr>
              <w:pStyle w:val="14"/>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
                <w:sz w:val="21"/>
                <w:szCs w:val="21"/>
                <w:highlight w:val="none"/>
              </w:rPr>
              <w:t xml:space="preserve">对供应商的资格要求：见磋商公告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12.1</w:t>
            </w:r>
          </w:p>
        </w:tc>
        <w:tc>
          <w:tcPr>
            <w:tcW w:w="7992" w:type="dxa"/>
            <w:vAlign w:val="center"/>
          </w:tcPr>
          <w:p>
            <w:pPr>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成交响应报价为完成本项目并达到磋商文件要求所需要的全部费用，服务响应报价为提供磋商文件要求服务的所有费用，包括但不限于提供项目实施费、人工费、材料费、管理费、供应商应缴纳的所有税费、规费、等全部费用。</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（1）报价货币：人民币；</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p>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14.1</w:t>
            </w:r>
          </w:p>
          <w:p>
            <w:pPr>
              <w:pStyle w:val="30"/>
              <w:adjustRightInd w:val="0"/>
              <w:snapToGrid w:val="0"/>
              <w:spacing w:line="360" w:lineRule="auto"/>
              <w:rPr>
                <w:rFonts w:hint="eastAsia" w:ascii="仿宋" w:hAnsi="仿宋" w:eastAsia="仿宋" w:cs="仿宋"/>
                <w:i w:val="0"/>
                <w:iCs w:val="0"/>
                <w:color w:val="auto"/>
                <w:sz w:val="21"/>
                <w:szCs w:val="21"/>
                <w:highlight w:val="none"/>
              </w:rPr>
            </w:pPr>
          </w:p>
        </w:tc>
        <w:tc>
          <w:tcPr>
            <w:tcW w:w="7992" w:type="dxa"/>
            <w:vAlign w:val="center"/>
          </w:tcPr>
          <w:p>
            <w:pPr>
              <w:pStyle w:val="30"/>
              <w:adjustRightInd w:val="0"/>
              <w:snapToGrid w:val="0"/>
              <w:spacing w:line="360" w:lineRule="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rPr>
              <w:t>投标保证金</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3000元（公对公转账，报名当天缴纳）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磋商有效期：自响应文件递交之日起</w:t>
            </w:r>
            <w:r>
              <w:rPr>
                <w:rFonts w:hint="eastAsia" w:ascii="仿宋" w:hAnsi="仿宋" w:eastAsia="仿宋" w:cs="仿宋"/>
                <w:i w:val="0"/>
                <w:iCs w:val="0"/>
                <w:color w:val="auto"/>
                <w:sz w:val="21"/>
                <w:szCs w:val="21"/>
                <w:highlight w:val="none"/>
                <w:u w:val="single"/>
              </w:rPr>
              <w:t xml:space="preserve">  60  </w:t>
            </w:r>
            <w:r>
              <w:rPr>
                <w:rFonts w:hint="eastAsia" w:ascii="仿宋" w:hAnsi="仿宋" w:eastAsia="仿宋" w:cs="仿宋"/>
                <w:i w:val="0"/>
                <w:iCs w:val="0"/>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响应文件的份数：正本1份，副本2份</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电子版1份</w:t>
            </w:r>
            <w:r>
              <w:rPr>
                <w:rFonts w:hint="eastAsia" w:ascii="仿宋" w:hAnsi="仿宋" w:eastAsia="仿宋" w:cs="仿宋"/>
                <w:i w:val="0"/>
                <w:i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17.2</w:t>
            </w:r>
          </w:p>
        </w:tc>
        <w:tc>
          <w:tcPr>
            <w:tcW w:w="7992" w:type="dxa"/>
            <w:vAlign w:val="center"/>
          </w:tcPr>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密封袋（箱）上须标注：</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（l）采购项目编号：</w:t>
            </w:r>
            <w:r>
              <w:rPr>
                <w:rFonts w:hint="eastAsia" w:ascii="仿宋" w:hAnsi="仿宋" w:eastAsia="仿宋" w:cs="仿宋"/>
                <w:i w:val="0"/>
                <w:iCs w:val="0"/>
                <w:color w:val="auto"/>
                <w:sz w:val="21"/>
                <w:szCs w:val="21"/>
                <w:highlight w:val="none"/>
                <w:lang w:val="en-US" w:eastAsia="zh-CN"/>
              </w:rPr>
              <w:t>SZRFYZB202312-153</w:t>
            </w:r>
          </w:p>
          <w:p>
            <w:pPr>
              <w:pStyle w:val="3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（2）项目名称：</w:t>
            </w:r>
            <w:r>
              <w:rPr>
                <w:rFonts w:hint="eastAsia" w:ascii="仿宋" w:hAnsi="仿宋" w:eastAsia="仿宋" w:cs="仿宋"/>
                <w:i w:val="0"/>
                <w:iCs w:val="0"/>
                <w:color w:val="auto"/>
                <w:kern w:val="0"/>
                <w:sz w:val="21"/>
                <w:szCs w:val="21"/>
                <w:highlight w:val="none"/>
                <w:lang w:val="en-US" w:eastAsia="zh-CN"/>
              </w:rPr>
              <w:t>陕西中医药大学第二附属医院迁建医院项目西侧预留土地规划设计项目</w:t>
            </w:r>
          </w:p>
          <w:p>
            <w:pPr>
              <w:pStyle w:val="30"/>
              <w:adjustRightInd w:val="0"/>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（3）供应商的名称、地址、联系人、电话和传真。</w:t>
            </w:r>
          </w:p>
          <w:p>
            <w:pPr>
              <w:pStyle w:val="30"/>
              <w:adjustRightInd w:val="0"/>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w:t>
            </w:r>
            <w:r>
              <w:rPr>
                <w:rFonts w:hint="eastAsia" w:ascii="仿宋" w:hAnsi="仿宋" w:eastAsia="仿宋" w:cs="仿宋"/>
                <w:i w:val="0"/>
                <w:iCs w:val="0"/>
                <w:color w:val="auto"/>
                <w:kern w:val="0"/>
                <w:sz w:val="21"/>
                <w:szCs w:val="21"/>
                <w:highlight w:val="none"/>
              </w:rPr>
              <w:t>20</w:t>
            </w:r>
            <w:r>
              <w:rPr>
                <w:rFonts w:hint="eastAsia" w:ascii="仿宋" w:hAnsi="仿宋" w:eastAsia="仿宋" w:cs="仿宋"/>
                <w:i w:val="0"/>
                <w:iCs w:val="0"/>
                <w:color w:val="auto"/>
                <w:kern w:val="0"/>
                <w:sz w:val="21"/>
                <w:szCs w:val="21"/>
                <w:highlight w:val="none"/>
                <w:lang w:val="en-US" w:eastAsia="zh-CN"/>
              </w:rPr>
              <w:t>24</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lang w:val="en-US" w:eastAsia="zh-CN"/>
              </w:rPr>
              <w:t>04</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lang w:val="en-US" w:eastAsia="zh-CN"/>
              </w:rPr>
              <w:t>23日09时30分</w:t>
            </w:r>
            <w:r>
              <w:rPr>
                <w:rFonts w:hint="eastAsia" w:ascii="仿宋" w:hAnsi="仿宋" w:eastAsia="仿宋" w:cs="仿宋"/>
                <w:i w:val="0"/>
                <w:iCs w:val="0"/>
                <w:color w:val="auto"/>
                <w:sz w:val="21"/>
                <w:szCs w:val="21"/>
                <w:highlight w:val="none"/>
              </w:rPr>
              <w:t>（北京时间）之前不得启封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w:t>
            </w:r>
          </w:p>
        </w:tc>
        <w:tc>
          <w:tcPr>
            <w:tcW w:w="7992" w:type="dxa"/>
            <w:vAlign w:val="center"/>
          </w:tcPr>
          <w:p>
            <w:pPr>
              <w:pStyle w:val="30"/>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本项目不要求提交样品。</w:t>
            </w:r>
          </w:p>
          <w:p>
            <w:pPr>
              <w:pStyle w:val="30"/>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□本项目要求提交样品。样品为响应文件的一部分，随响应文件同时递交。</w:t>
            </w:r>
          </w:p>
          <w:p>
            <w:pPr>
              <w:pStyle w:val="30"/>
              <w:adjustRightInd w:val="0"/>
              <w:snapToGrid w:val="0"/>
              <w:spacing w:line="36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（1）样品需标明：项目名称、供应商名称、样品名称等内容。</w:t>
            </w:r>
          </w:p>
          <w:p>
            <w:pPr>
              <w:pStyle w:val="30"/>
              <w:adjustRightInd w:val="0"/>
              <w:snapToGrid w:val="0"/>
              <w:spacing w:line="36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18.1</w:t>
            </w:r>
          </w:p>
        </w:tc>
        <w:tc>
          <w:tcPr>
            <w:tcW w:w="7992" w:type="dxa"/>
            <w:vAlign w:val="center"/>
          </w:tcPr>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响应文件递交截止时间：</w:t>
            </w:r>
            <w:r>
              <w:rPr>
                <w:rFonts w:hint="eastAsia" w:ascii="仿宋" w:hAnsi="仿宋" w:eastAsia="仿宋" w:cs="仿宋"/>
                <w:i w:val="0"/>
                <w:iCs w:val="0"/>
                <w:color w:val="auto"/>
                <w:kern w:val="0"/>
                <w:sz w:val="21"/>
                <w:szCs w:val="21"/>
                <w:highlight w:val="none"/>
              </w:rPr>
              <w:t>20</w:t>
            </w:r>
            <w:r>
              <w:rPr>
                <w:rFonts w:hint="eastAsia" w:ascii="仿宋" w:hAnsi="仿宋" w:eastAsia="仿宋" w:cs="仿宋"/>
                <w:i w:val="0"/>
                <w:iCs w:val="0"/>
                <w:color w:val="auto"/>
                <w:kern w:val="0"/>
                <w:sz w:val="21"/>
                <w:szCs w:val="21"/>
                <w:highlight w:val="none"/>
                <w:lang w:val="en-US" w:eastAsia="zh-CN"/>
              </w:rPr>
              <w:t>24</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lang w:val="en-US" w:eastAsia="zh-CN"/>
              </w:rPr>
              <w:t>05</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lang w:val="en-US" w:eastAsia="zh-CN"/>
              </w:rPr>
              <w:t>7日09时30分</w:t>
            </w:r>
            <w:r>
              <w:rPr>
                <w:rFonts w:hint="eastAsia" w:ascii="仿宋" w:hAnsi="仿宋" w:eastAsia="仿宋" w:cs="仿宋"/>
                <w:i w:val="0"/>
                <w:iCs w:val="0"/>
                <w:color w:val="auto"/>
                <w:kern w:val="24"/>
                <w:sz w:val="21"/>
                <w:szCs w:val="21"/>
                <w:highlight w:val="none"/>
              </w:rPr>
              <w:t>（北京时间）。</w:t>
            </w:r>
          </w:p>
          <w:p>
            <w:pPr>
              <w:keepNext w:val="0"/>
              <w:keepLines w:val="0"/>
              <w:pageBreakBefore w:val="0"/>
              <w:widowControl/>
              <w:kinsoku/>
              <w:wordWrap/>
              <w:overflowPunct/>
              <w:topLinePunct w:val="0"/>
              <w:autoSpaceDE/>
              <w:autoSpaceDN/>
              <w:bidi w:val="0"/>
              <w:adjustRightInd/>
              <w:snapToGrid w:val="0"/>
              <w:spacing w:line="360" w:lineRule="auto"/>
              <w:ind w:right="-197" w:rightChars="-94"/>
              <w:jc w:val="left"/>
              <w:textAlignment w:val="auto"/>
              <w:rPr>
                <w:rFonts w:hint="default"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rPr>
              <w:t>响应文件递交地点：</w:t>
            </w:r>
            <w:r>
              <w:rPr>
                <w:rFonts w:hint="eastAsia" w:ascii="仿宋" w:hAnsi="仿宋" w:eastAsia="仿宋" w:cs="仿宋"/>
                <w:i w:val="0"/>
                <w:iCs w:val="0"/>
                <w:color w:val="auto"/>
                <w:kern w:val="24"/>
                <w:sz w:val="21"/>
                <w:szCs w:val="21"/>
                <w:highlight w:val="none"/>
                <w:lang w:val="en-US" w:eastAsia="zh-CN"/>
              </w:rPr>
              <w:t>西咸新区沣西新城龙台观路831号</w:t>
            </w:r>
            <w:r>
              <w:rPr>
                <w:rFonts w:hint="eastAsia" w:ascii="仿宋" w:hAnsi="仿宋" w:eastAsia="仿宋" w:cs="仿宋"/>
                <w:i w:val="0"/>
                <w:iCs w:val="0"/>
                <w:color w:val="auto"/>
                <w:kern w:val="0"/>
                <w:sz w:val="21"/>
                <w:szCs w:val="21"/>
                <w:highlight w:val="none"/>
                <w:lang w:val="en-US" w:eastAsia="zh-CN"/>
              </w:rPr>
              <w:t>住院部11层1106</w:t>
            </w:r>
          </w:p>
          <w:p>
            <w:pPr>
              <w:tabs>
                <w:tab w:val="left" w:pos="588"/>
              </w:tabs>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30"/>
              <w:adjustRightInd w:val="0"/>
              <w:snapToGrid w:val="0"/>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21.1</w:t>
            </w:r>
          </w:p>
        </w:tc>
        <w:tc>
          <w:tcPr>
            <w:tcW w:w="7992" w:type="dxa"/>
            <w:vAlign w:val="center"/>
          </w:tcPr>
          <w:p>
            <w:pPr>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磋商小组由</w:t>
            </w:r>
            <w:r>
              <w:rPr>
                <w:rFonts w:hint="eastAsia" w:ascii="仿宋" w:hAnsi="仿宋" w:eastAsia="仿宋" w:cs="仿宋"/>
                <w:b/>
                <w:bCs/>
                <w:i w:val="0"/>
                <w:iCs w:val="0"/>
                <w:color w:val="auto"/>
                <w:sz w:val="21"/>
                <w:szCs w:val="21"/>
                <w:highlight w:val="none"/>
                <w:u w:val="single"/>
                <w:lang w:val="en-US" w:eastAsia="zh-CN"/>
              </w:rPr>
              <w:t xml:space="preserve">3 </w:t>
            </w:r>
            <w:r>
              <w:rPr>
                <w:rFonts w:hint="eastAsia" w:ascii="仿宋" w:hAnsi="仿宋" w:eastAsia="仿宋" w:cs="仿宋"/>
                <w:i w:val="0"/>
                <w:iCs w:val="0"/>
                <w:color w:val="auto"/>
                <w:sz w:val="21"/>
                <w:szCs w:val="21"/>
                <w:highlight w:val="none"/>
              </w:rPr>
              <w:t>人组成，其中评审专家</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2</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人，采购人代表</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1</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w:t>
            </w:r>
          </w:p>
        </w:tc>
        <w:tc>
          <w:tcPr>
            <w:tcW w:w="7992" w:type="dxa"/>
            <w:vAlign w:val="center"/>
          </w:tcPr>
          <w:p>
            <w:pPr>
              <w:spacing w:line="360" w:lineRule="auto"/>
              <w:jc w:val="left"/>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 本项目要求履约保证金，金额为成交合同金额的</w:t>
            </w:r>
            <w:r>
              <w:rPr>
                <w:rFonts w:hint="eastAsia" w:ascii="仿宋" w:hAnsi="仿宋" w:eastAsia="仿宋" w:cs="仿宋"/>
                <w:b/>
                <w:i w:val="0"/>
                <w:iCs w:val="0"/>
                <w:color w:val="auto"/>
                <w:sz w:val="21"/>
                <w:szCs w:val="21"/>
                <w:highlight w:val="none"/>
                <w:u w:val="single"/>
                <w:lang w:val="en-US" w:eastAsia="zh-CN"/>
              </w:rPr>
              <w:t>/</w:t>
            </w:r>
          </w:p>
          <w:p>
            <w:pPr>
              <w:pStyle w:val="24"/>
              <w:spacing w:line="360" w:lineRule="auto"/>
              <w:rPr>
                <w:rFonts w:hint="eastAsia" w:ascii="仿宋" w:hAnsi="仿宋" w:eastAsia="仿宋" w:cs="仿宋"/>
                <w:i w:val="0"/>
                <w:iCs w:val="0"/>
                <w:color w:val="auto"/>
                <w:sz w:val="21"/>
                <w:szCs w:val="21"/>
                <w:highlight w:val="none"/>
              </w:rPr>
            </w:pPr>
          </w:p>
          <w:p>
            <w:pPr>
              <w:spacing w:line="36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本项目不要求履约保证金。</w:t>
            </w:r>
          </w:p>
        </w:tc>
      </w:tr>
      <w:bookmarkEnd w:id="18"/>
    </w:tbl>
    <w:p>
      <w:pPr>
        <w:pStyle w:val="82"/>
        <w:spacing w:before="24" w:after="24"/>
        <w:jc w:val="center"/>
        <w:rPr>
          <w:rFonts w:hint="default" w:ascii="Times New Roman" w:hAnsi="Times New Roman" w:eastAsia="仿宋_GB2312" w:cs="Times New Roman"/>
          <w:i w:val="0"/>
          <w:iCs w:val="0"/>
          <w:color w:val="auto"/>
          <w:szCs w:val="32"/>
          <w:highlight w:val="none"/>
        </w:rPr>
      </w:pPr>
      <w:bookmarkStart w:id="60" w:name="_Toc9251"/>
      <w:bookmarkStart w:id="61" w:name="_Toc230583542"/>
      <w:bookmarkStart w:id="62" w:name="_Toc177817335"/>
      <w:bookmarkStart w:id="63" w:name="_Toc500747190"/>
      <w:bookmarkStart w:id="64" w:name="_Toc176882543"/>
      <w:bookmarkStart w:id="65" w:name="_Toc492955416"/>
      <w:bookmarkStart w:id="66" w:name="_Toc53722841"/>
      <w:bookmarkStart w:id="67" w:name="_Toc499711044"/>
      <w:bookmarkStart w:id="68" w:name="_Toc249525160"/>
      <w:bookmarkStart w:id="69" w:name="_Toc177995474"/>
      <w:bookmarkStart w:id="70" w:name="_Toc177189236"/>
      <w:bookmarkStart w:id="71" w:name="_Toc496324580"/>
      <w:bookmarkStart w:id="72" w:name="_Toc230013633"/>
      <w:bookmarkStart w:id="73" w:name="_Toc230099798"/>
      <w:bookmarkStart w:id="74" w:name="_Toc499711885"/>
      <w:bookmarkStart w:id="75" w:name="_Toc389620165"/>
      <w:bookmarkStart w:id="76" w:name="_Toc500747063"/>
      <w:bookmarkStart w:id="77" w:name="_Toc500746967"/>
      <w:bookmarkStart w:id="78" w:name="_Toc385992326"/>
      <w:bookmarkStart w:id="79" w:name="_Toc232176273"/>
      <w:bookmarkStart w:id="80" w:name="_Toc249515279"/>
      <w:bookmarkStart w:id="81" w:name="_Toc232395213"/>
      <w:bookmarkStart w:id="82" w:name="_Toc184043013"/>
      <w:bookmarkStart w:id="83" w:name="_Toc249515391"/>
      <w:bookmarkStart w:id="84" w:name="_Toc503063423"/>
      <w:bookmarkStart w:id="85" w:name="_Toc70687140"/>
      <w:bookmarkStart w:id="86" w:name="_Toc256342144"/>
    </w:p>
    <w:p>
      <w:pPr>
        <w:rPr>
          <w:rFonts w:hint="default" w:ascii="Times New Roman" w:hAnsi="Times New Roman" w:eastAsia="仿宋_GB2312" w:cs="Times New Roman"/>
          <w:i w:val="0"/>
          <w:iCs w:val="0"/>
          <w:color w:val="auto"/>
          <w:szCs w:val="32"/>
          <w:highlight w:val="none"/>
        </w:rPr>
      </w:pPr>
    </w:p>
    <w:p>
      <w:pPr>
        <w:rPr>
          <w:rFonts w:hint="default" w:ascii="Times New Roman" w:hAnsi="Times New Roman" w:eastAsia="仿宋_GB2312" w:cs="Times New Roman"/>
          <w:i w:val="0"/>
          <w:iCs w:val="0"/>
          <w:color w:val="auto"/>
          <w:szCs w:val="32"/>
          <w:highlight w:val="none"/>
        </w:rPr>
      </w:pPr>
      <w:r>
        <w:rPr>
          <w:rFonts w:hint="default" w:ascii="Times New Roman" w:hAnsi="Times New Roman" w:eastAsia="仿宋_GB2312" w:cs="Times New Roman"/>
          <w:i w:val="0"/>
          <w:iCs w:val="0"/>
          <w:color w:val="auto"/>
          <w:szCs w:val="32"/>
          <w:highlight w:val="none"/>
        </w:rPr>
        <w:br w:type="page"/>
      </w:r>
    </w:p>
    <w:p>
      <w:pPr>
        <w:pStyle w:val="82"/>
        <w:spacing w:before="24" w:after="24"/>
        <w:jc w:val="center"/>
        <w:rPr>
          <w:rFonts w:hint="default" w:ascii="Times New Roman" w:hAnsi="Times New Roman" w:eastAsia="仿宋_GB2312" w:cs="Times New Roman"/>
          <w:i w:val="0"/>
          <w:iCs w:val="0"/>
          <w:color w:val="auto"/>
          <w:szCs w:val="32"/>
          <w:highlight w:val="none"/>
        </w:rPr>
      </w:pPr>
      <w:r>
        <w:rPr>
          <w:rFonts w:hint="default" w:ascii="Times New Roman" w:hAnsi="Times New Roman" w:eastAsia="仿宋_GB2312" w:cs="Times New Roman"/>
          <w:i w:val="0"/>
          <w:iCs w:val="0"/>
          <w:color w:val="auto"/>
          <w:szCs w:val="32"/>
          <w:highlight w:val="none"/>
        </w:rPr>
        <w:t>（二）供应商须知</w:t>
      </w:r>
      <w:bookmarkEnd w:id="60"/>
    </w:p>
    <w:p>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87" w:name="_Toc5697"/>
      <w:r>
        <w:rPr>
          <w:rFonts w:hint="eastAsia" w:ascii="仿宋" w:hAnsi="仿宋" w:eastAsia="仿宋" w:cs="仿宋"/>
          <w:i w:val="0"/>
          <w:iCs w:val="0"/>
          <w:color w:val="auto"/>
          <w:sz w:val="21"/>
          <w:szCs w:val="21"/>
          <w:highlight w:val="none"/>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88" w:name="_Hlt14560612"/>
      <w:bookmarkEnd w:id="88"/>
      <w:bookmarkStart w:id="89" w:name="_Toc184043014"/>
      <w:bookmarkStart w:id="90" w:name="_Toc249515280"/>
      <w:bookmarkStart w:id="91" w:name="_Toc249525161"/>
      <w:bookmarkStart w:id="92" w:name="_Toc25504"/>
      <w:bookmarkStart w:id="93" w:name="_Toc249515392"/>
      <w:r>
        <w:rPr>
          <w:rFonts w:hint="eastAsia" w:ascii="仿宋" w:hAnsi="仿宋" w:eastAsia="仿宋" w:cs="仿宋"/>
          <w:b/>
          <w:i w:val="0"/>
          <w:iCs w:val="0"/>
          <w:color w:val="auto"/>
          <w:sz w:val="21"/>
          <w:szCs w:val="21"/>
          <w:highlight w:val="none"/>
        </w:rPr>
        <w:t>1.     项目说明</w:t>
      </w:r>
      <w:bookmarkEnd w:id="89"/>
      <w:bookmarkEnd w:id="90"/>
      <w:bookmarkEnd w:id="91"/>
      <w:bookmarkEnd w:id="92"/>
      <w:bookmarkEnd w:id="93"/>
    </w:p>
    <w:p>
      <w:pPr>
        <w:pStyle w:val="68"/>
        <w:keepNext w:val="0"/>
        <w:keepLines w:val="0"/>
        <w:pageBreakBefore w:val="0"/>
        <w:widowControl w:val="0"/>
        <w:tabs>
          <w:tab w:val="left" w:pos="588"/>
        </w:tabs>
        <w:kinsoku/>
        <w:wordWrap/>
        <w:overflowPunct/>
        <w:topLinePunct w:val="0"/>
        <w:bidi w:val="0"/>
        <w:spacing w:before="0" w:beforeAutospacing="0" w:after="0" w:afterAutospacing="0"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    项目说明：</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94" w:name="_Toc249515393"/>
      <w:bookmarkStart w:id="95" w:name="_Toc31509"/>
      <w:bookmarkStart w:id="96" w:name="_Toc249515281"/>
      <w:bookmarkStart w:id="97" w:name="_Toc184043015"/>
      <w:bookmarkStart w:id="98" w:name="_Toc70687142"/>
      <w:bookmarkStart w:id="99" w:name="_Toc249525162"/>
      <w:r>
        <w:rPr>
          <w:rFonts w:hint="eastAsia" w:ascii="仿宋" w:hAnsi="仿宋" w:eastAsia="仿宋" w:cs="仿宋"/>
          <w:b/>
          <w:i w:val="0"/>
          <w:iCs w:val="0"/>
          <w:color w:val="auto"/>
          <w:sz w:val="21"/>
          <w:szCs w:val="21"/>
          <w:highlight w:val="none"/>
        </w:rPr>
        <w:t>2.     定义</w:t>
      </w:r>
      <w:bookmarkEnd w:id="94"/>
      <w:bookmarkEnd w:id="95"/>
      <w:bookmarkEnd w:id="96"/>
      <w:bookmarkEnd w:id="97"/>
      <w:bookmarkEnd w:id="98"/>
      <w:bookmarkEnd w:id="99"/>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    采购人：</w:t>
      </w:r>
      <w:r>
        <w:rPr>
          <w:rFonts w:hint="eastAsia" w:ascii="仿宋" w:hAnsi="仿宋" w:eastAsia="仿宋" w:cs="仿宋"/>
          <w:b/>
          <w:i w:val="0"/>
          <w:iCs w:val="0"/>
          <w:color w:val="auto"/>
          <w:sz w:val="21"/>
          <w:szCs w:val="21"/>
          <w:highlight w:val="none"/>
        </w:rPr>
        <w:t>见供应商须知前附表</w:t>
      </w:r>
      <w:r>
        <w:rPr>
          <w:rFonts w:hint="eastAsia" w:ascii="仿宋" w:hAnsi="仿宋" w:eastAsia="仿宋" w:cs="仿宋"/>
          <w:i w:val="0"/>
          <w:iCs w:val="0"/>
          <w:color w:val="auto"/>
          <w:sz w:val="21"/>
          <w:szCs w:val="21"/>
          <w:highlight w:val="none"/>
        </w:rPr>
        <w:t>。</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2.2    采购代理机构：</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    供应商：指响应磋商文件要求、参加竞争性磋商采购的法人、其他组织或者自然人。本次政府采购项目邀请供应商方式见</w:t>
      </w:r>
      <w:r>
        <w:rPr>
          <w:rFonts w:hint="eastAsia" w:ascii="仿宋" w:hAnsi="仿宋" w:eastAsia="仿宋" w:cs="仿宋"/>
          <w:b/>
          <w:i w:val="0"/>
          <w:iCs w:val="0"/>
          <w:color w:val="auto"/>
          <w:sz w:val="21"/>
          <w:szCs w:val="21"/>
          <w:highlight w:val="none"/>
        </w:rPr>
        <w:t>供应商须知前附表。</w:t>
      </w:r>
    </w:p>
    <w:p>
      <w:pPr>
        <w:pStyle w:val="24"/>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2.4    磋商小组：指依据《中华人民共和国政府采购法》和财政部《政府采购竞争性磋商采购方式管理暂行办法》有关规定组建，依法依规履行其职责和义务的机构。</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0" w:name="_Toc70687143"/>
      <w:bookmarkStart w:id="101" w:name="_Toc385992329"/>
      <w:bookmarkStart w:id="102" w:name="_Toc389620168"/>
      <w:bookmarkStart w:id="103" w:name="_Toc184043016"/>
      <w:bookmarkStart w:id="104" w:name="_Toc249525163"/>
      <w:bookmarkStart w:id="105" w:name="_Toc249515282"/>
      <w:bookmarkStart w:id="106" w:name="_Toc249515394"/>
      <w:bookmarkStart w:id="107" w:name="_Toc23705"/>
      <w:r>
        <w:rPr>
          <w:rFonts w:hint="eastAsia" w:ascii="仿宋" w:hAnsi="仿宋" w:eastAsia="仿宋" w:cs="仿宋"/>
          <w:b/>
          <w:i w:val="0"/>
          <w:iCs w:val="0"/>
          <w:color w:val="auto"/>
          <w:sz w:val="21"/>
          <w:szCs w:val="21"/>
          <w:highlight w:val="none"/>
        </w:rPr>
        <w:t>3.     合格的供应商</w:t>
      </w:r>
      <w:bookmarkEnd w:id="100"/>
      <w:bookmarkEnd w:id="101"/>
      <w:bookmarkEnd w:id="102"/>
      <w:bookmarkEnd w:id="103"/>
      <w:bookmarkEnd w:id="104"/>
      <w:bookmarkEnd w:id="105"/>
      <w:bookmarkEnd w:id="106"/>
      <w:bookmarkEnd w:id="107"/>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3.1    供应商基本资质要求详见</w:t>
      </w:r>
      <w:r>
        <w:rPr>
          <w:rFonts w:hint="eastAsia" w:ascii="仿宋" w:hAnsi="仿宋" w:eastAsia="仿宋" w:cs="仿宋"/>
          <w:b/>
          <w:i w:val="0"/>
          <w:iCs w:val="0"/>
          <w:color w:val="auto"/>
          <w:kern w:val="24"/>
          <w:sz w:val="21"/>
          <w:szCs w:val="21"/>
          <w:highlight w:val="none"/>
        </w:rPr>
        <w:t>供应商须知前附表</w:t>
      </w:r>
      <w:r>
        <w:rPr>
          <w:rFonts w:hint="eastAsia" w:ascii="仿宋" w:hAnsi="仿宋" w:eastAsia="仿宋" w:cs="仿宋"/>
          <w:i w:val="0"/>
          <w:iCs w:val="0"/>
          <w:color w:val="auto"/>
          <w:kern w:val="24"/>
          <w:sz w:val="21"/>
          <w:szCs w:val="21"/>
          <w:highlight w:val="none"/>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    本项目将执行在政府采购活动中查询及使用信用记录的规定，具体要求为：</w:t>
      </w:r>
    </w:p>
    <w:p>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3.2.1  供应商应当未被列入失信被执行人、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kern w:val="24"/>
          <w:sz w:val="21"/>
          <w:szCs w:val="21"/>
          <w:highlight w:val="none"/>
        </w:rPr>
        <w:t>、政府采购严重违法失信行为记录名单，否则不得参与政府采购活动。</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3.2.2  信用信息查询的时间：响应文件递交截止时间之后至磋商</w:t>
      </w:r>
      <w:r>
        <w:rPr>
          <w:rFonts w:hint="eastAsia" w:ascii="仿宋" w:hAnsi="仿宋" w:eastAsia="仿宋" w:cs="仿宋"/>
          <w:i w:val="0"/>
          <w:iCs w:val="0"/>
          <w:color w:val="auto"/>
          <w:sz w:val="21"/>
          <w:szCs w:val="21"/>
          <w:highlight w:val="none"/>
        </w:rPr>
        <w:t>资格性检查结束</w:t>
      </w:r>
      <w:r>
        <w:rPr>
          <w:rFonts w:hint="eastAsia" w:ascii="仿宋" w:hAnsi="仿宋" w:eastAsia="仿宋" w:cs="仿宋"/>
          <w:i w:val="0"/>
          <w:iCs w:val="0"/>
          <w:color w:val="auto"/>
          <w:kern w:val="24"/>
          <w:sz w:val="21"/>
          <w:szCs w:val="21"/>
          <w:highlight w:val="none"/>
        </w:rPr>
        <w:t xml:space="preserve">。 </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3.2.3  查询渠道：“信用中国”网站（www.creditchina.gov.cn）和中国政府采购网（www.ccgp.gov.cn）； </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3.2.4  信用信息查询记录和证据留存具体方式：将经查询存在不良信用记录的潜在供应商的查询结果网页截图作为查询记录和证据，与其他采购文件一并保存； </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2</w:t>
      </w:r>
      <w:r>
        <w:rPr>
          <w:rFonts w:hint="eastAsia" w:ascii="仿宋" w:hAnsi="仿宋" w:eastAsia="仿宋" w:cs="仿宋"/>
          <w:i w:val="0"/>
          <w:iCs w:val="0"/>
          <w:color w:val="auto"/>
          <w:kern w:val="24"/>
          <w:sz w:val="21"/>
          <w:szCs w:val="21"/>
          <w:highlight w:val="none"/>
        </w:rPr>
        <w:t>.5  信用信息的使用规则：采购人若发现参与本项目政府采购活动的供应商在存在不良信用记录的，将信用信息查询记录提交给磋商小组，作无效文件进行处理。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3</w:t>
      </w:r>
      <w:r>
        <w:rPr>
          <w:rFonts w:hint="eastAsia" w:ascii="仿宋" w:hAnsi="仿宋" w:eastAsia="仿宋" w:cs="仿宋"/>
          <w:i w:val="0"/>
          <w:iCs w:val="0"/>
          <w:color w:val="auto"/>
          <w:kern w:val="24"/>
          <w:sz w:val="21"/>
          <w:szCs w:val="21"/>
          <w:highlight w:val="none"/>
        </w:rPr>
        <w:t xml:space="preserve">    供应商必须向采购人</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磋商文件，未向采购人</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磋商文件的潜在供应商均无资格参加本次采购。</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4</w:t>
      </w:r>
      <w:r>
        <w:rPr>
          <w:rFonts w:hint="eastAsia" w:ascii="仿宋" w:hAnsi="仿宋" w:eastAsia="仿宋" w:cs="仿宋"/>
          <w:i w:val="0"/>
          <w:iCs w:val="0"/>
          <w:color w:val="auto"/>
          <w:kern w:val="24"/>
          <w:sz w:val="21"/>
          <w:szCs w:val="21"/>
          <w:highlight w:val="none"/>
        </w:rPr>
        <w:t xml:space="preserve">    供应商应遵守《中华人民共和国政府采购法》及其它有关的中国法律和法规。</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5</w:t>
      </w:r>
      <w:r>
        <w:rPr>
          <w:rFonts w:hint="eastAsia" w:ascii="仿宋" w:hAnsi="仿宋" w:eastAsia="仿宋" w:cs="仿宋"/>
          <w:i w:val="0"/>
          <w:iCs w:val="0"/>
          <w:color w:val="auto"/>
          <w:kern w:val="24"/>
          <w:sz w:val="21"/>
          <w:szCs w:val="21"/>
          <w:highlight w:val="none"/>
        </w:rPr>
        <w:t xml:space="preserve">    若前附表中写明允许采购进口产品，供应商应保证所投产品可履行合法报通关手续进入中国关境内。</w:t>
      </w:r>
    </w:p>
    <w:p>
      <w:pPr>
        <w:pStyle w:val="24"/>
        <w:keepNext w:val="0"/>
        <w:keepLines w:val="0"/>
        <w:pageBreakBefore w:val="0"/>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若前附表中不允许采购进口产品，如供应商所投产品为进口产品，其响应文件将被认定为无效。</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 xml:space="preserve">    如须知前附表中允许联合体投标，对联合体规定如下：</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.1  两个及以上供应商可以组成一个投标联合体，以一个供应商的身份投标。</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.2  联合体各方均应符合本须知规定。</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.3  采购人根据采购项目对供应商的特殊要求，联合体中至少应当有一方符合相关规定。</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.4  联合体各方应签订共同磋商响应协议，明确约定联合体各方承担的工作和相应的责任，并将共同响应协议作为响应文件的内容提交。</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.6  以联合体形式参加政府采购活动的，联合体各方不得再单独参加或者与其他供应商另外组成联合体参加本项目同一合同项下的磋商，否则相关响应文件将被认定为无效。</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.7  对联合体磋商的其他资格要求见须知前附表。</w:t>
      </w:r>
    </w:p>
    <w:p>
      <w:pPr>
        <w:pStyle w:val="24"/>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lang w:val="en-US" w:eastAsia="zh-CN"/>
        </w:rPr>
        <w:t xml:space="preserve">3.7    </w:t>
      </w:r>
      <w:r>
        <w:rPr>
          <w:rFonts w:hint="eastAsia" w:ascii="仿宋" w:hAnsi="仿宋" w:eastAsia="仿宋" w:cs="仿宋"/>
          <w:i w:val="0"/>
          <w:iCs w:val="0"/>
          <w:color w:val="auto"/>
          <w:sz w:val="21"/>
          <w:szCs w:val="21"/>
          <w:highlight w:val="none"/>
        </w:rPr>
        <w:t>若</w:t>
      </w:r>
      <w:r>
        <w:rPr>
          <w:rFonts w:hint="eastAsia" w:ascii="仿宋" w:hAnsi="仿宋" w:eastAsia="仿宋" w:cs="仿宋"/>
          <w:i w:val="0"/>
          <w:iCs w:val="0"/>
          <w:color w:val="auto"/>
          <w:sz w:val="21"/>
          <w:szCs w:val="21"/>
          <w:highlight w:val="none"/>
          <w:u w:val="none"/>
        </w:rPr>
        <w:t>前附表</w:t>
      </w:r>
      <w:r>
        <w:rPr>
          <w:rFonts w:hint="eastAsia" w:ascii="仿宋" w:hAnsi="仿宋" w:eastAsia="仿宋" w:cs="仿宋"/>
          <w:i w:val="0"/>
          <w:iCs w:val="0"/>
          <w:color w:val="auto"/>
          <w:sz w:val="21"/>
          <w:szCs w:val="21"/>
          <w:highlight w:val="none"/>
        </w:rPr>
        <w:t>中写明专门面向中小企业采购的，如</w:t>
      </w: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为非中小企业或所投产品为非中小企业产品，其</w:t>
      </w:r>
      <w:r>
        <w:rPr>
          <w:rFonts w:hint="eastAsia" w:ascii="仿宋" w:hAnsi="仿宋" w:eastAsia="仿宋" w:cs="仿宋"/>
          <w:i w:val="0"/>
          <w:iCs w:val="0"/>
          <w:color w:val="auto"/>
          <w:sz w:val="21"/>
          <w:szCs w:val="21"/>
          <w:highlight w:val="none"/>
          <w:lang w:eastAsia="zh-CN"/>
        </w:rPr>
        <w:t>响应文件</w:t>
      </w:r>
      <w:r>
        <w:rPr>
          <w:rFonts w:hint="eastAsia" w:ascii="仿宋" w:hAnsi="仿宋" w:eastAsia="仿宋" w:cs="仿宋"/>
          <w:i w:val="0"/>
          <w:iCs w:val="0"/>
          <w:color w:val="auto"/>
          <w:sz w:val="21"/>
          <w:szCs w:val="21"/>
          <w:highlight w:val="none"/>
        </w:rPr>
        <w:t>将被认定为</w:t>
      </w:r>
      <w:r>
        <w:rPr>
          <w:rFonts w:hint="eastAsia" w:ascii="仿宋" w:hAnsi="仿宋" w:eastAsia="仿宋" w:cs="仿宋"/>
          <w:b w:val="0"/>
          <w:bCs w:val="0"/>
          <w:i w:val="0"/>
          <w:iCs w:val="0"/>
          <w:color w:val="auto"/>
          <w:sz w:val="21"/>
          <w:szCs w:val="21"/>
          <w:highlight w:val="none"/>
        </w:rPr>
        <w:t>无效。</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8" w:name="_Toc70687144"/>
      <w:bookmarkStart w:id="109" w:name="_Toc184043017"/>
      <w:bookmarkStart w:id="110" w:name="_Toc249515395"/>
      <w:bookmarkStart w:id="111" w:name="_Toc249525164"/>
      <w:bookmarkStart w:id="112" w:name="_Toc26580"/>
      <w:bookmarkStart w:id="113" w:name="_Toc385992330"/>
      <w:bookmarkStart w:id="114" w:name="_Toc249515283"/>
      <w:bookmarkStart w:id="115" w:name="_Toc389620169"/>
      <w:r>
        <w:rPr>
          <w:rFonts w:hint="eastAsia" w:ascii="仿宋" w:hAnsi="仿宋" w:eastAsia="仿宋" w:cs="仿宋"/>
          <w:b/>
          <w:i w:val="0"/>
          <w:iCs w:val="0"/>
          <w:color w:val="auto"/>
          <w:sz w:val="21"/>
          <w:szCs w:val="21"/>
          <w:highlight w:val="none"/>
        </w:rPr>
        <w:t>4.     磋商费用</w:t>
      </w:r>
      <w:bookmarkEnd w:id="108"/>
      <w:bookmarkEnd w:id="109"/>
      <w:bookmarkEnd w:id="110"/>
      <w:bookmarkEnd w:id="111"/>
      <w:bookmarkEnd w:id="112"/>
      <w:bookmarkEnd w:id="113"/>
      <w:bookmarkEnd w:id="114"/>
      <w:bookmarkEnd w:id="115"/>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4.1    供应商应承担所有与编写和提交响应文件有关的费用，无论磋商过程和结果如何，采购人在任何情况下均无义务和责任承担这些费用。</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16" w:name="_Toc23030"/>
      <w:r>
        <w:rPr>
          <w:rFonts w:hint="eastAsia" w:ascii="仿宋" w:hAnsi="仿宋" w:eastAsia="仿宋" w:cs="仿宋"/>
          <w:i w:val="0"/>
          <w:iCs w:val="0"/>
          <w:color w:val="auto"/>
          <w:sz w:val="21"/>
          <w:szCs w:val="21"/>
          <w:highlight w:val="none"/>
        </w:rPr>
        <w:t>二、磋商文件说明</w:t>
      </w:r>
      <w:bookmarkEnd w:id="116"/>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5"/>
        <w:keepNext w:val="0"/>
        <w:keepLines w:val="0"/>
        <w:pageBreakBefore w:val="0"/>
        <w:numPr>
          <w:ilvl w:val="0"/>
          <w:numId w:val="5"/>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17" w:name="_Toc128"/>
      <w:bookmarkStart w:id="118" w:name="_Toc70687146"/>
      <w:bookmarkStart w:id="119" w:name="_Toc385992332"/>
      <w:bookmarkStart w:id="120" w:name="_Toc249515397"/>
      <w:bookmarkStart w:id="121" w:name="_Toc249515285"/>
      <w:bookmarkStart w:id="122" w:name="_Toc249525166"/>
      <w:bookmarkStart w:id="123" w:name="_Toc184043019"/>
      <w:bookmarkStart w:id="124" w:name="_Toc389620171"/>
      <w:r>
        <w:rPr>
          <w:rFonts w:hint="eastAsia" w:ascii="仿宋" w:hAnsi="仿宋" w:eastAsia="仿宋" w:cs="仿宋"/>
          <w:b/>
          <w:i w:val="0"/>
          <w:iCs w:val="0"/>
          <w:color w:val="auto"/>
          <w:sz w:val="21"/>
          <w:szCs w:val="21"/>
          <w:highlight w:val="none"/>
        </w:rPr>
        <w:t xml:space="preserve">    通知</w:t>
      </w:r>
      <w:bookmarkEnd w:id="117"/>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5.1    对与本项目有关的通知，</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将以书面（包括书面材料、信函、传真、电子邮件等，下同）的形式，送达所有与通知有关的已</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了磋商文件的供应商（潜在供应商），传真号码以供应商登记的为准。供应商应于收到通知后按规定时间以书面方式予以回复确认。因登记有误或传真线路故障导致通知延迟送达或无法送达，</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不承担责任。</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5" w:name="_Toc27223"/>
      <w:r>
        <w:rPr>
          <w:rFonts w:hint="eastAsia" w:ascii="仿宋" w:hAnsi="仿宋" w:eastAsia="仿宋" w:cs="仿宋"/>
          <w:b/>
          <w:i w:val="0"/>
          <w:iCs w:val="0"/>
          <w:color w:val="auto"/>
          <w:sz w:val="21"/>
          <w:szCs w:val="21"/>
          <w:highlight w:val="none"/>
        </w:rPr>
        <w:t>6.     磋商文件的构成</w:t>
      </w:r>
      <w:bookmarkEnd w:id="118"/>
      <w:bookmarkEnd w:id="119"/>
      <w:bookmarkEnd w:id="120"/>
      <w:bookmarkEnd w:id="121"/>
      <w:bookmarkEnd w:id="122"/>
      <w:bookmarkEnd w:id="123"/>
      <w:bookmarkEnd w:id="124"/>
      <w:bookmarkEnd w:id="125"/>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6.1    磋商文件用以阐明供应商所需提供的服务、工程或货物以及其它类似的义务、采购响应程序和合同条款。磋商文件包括如下五章内容：</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第一章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磋商公告</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第二章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供应商须知</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第三章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评审办法和标准</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第四章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合同草案条款</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第五章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采购内容及要求</w:t>
      </w:r>
    </w:p>
    <w:p>
      <w:pPr>
        <w:pStyle w:val="24"/>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第六章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磋商响应文件格式</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6" w:name="_Toc249515286"/>
      <w:bookmarkStart w:id="127" w:name="_Toc249525167"/>
      <w:bookmarkStart w:id="128" w:name="_Toc70687147"/>
      <w:bookmarkStart w:id="129" w:name="_Toc249515398"/>
      <w:bookmarkStart w:id="130" w:name="_Toc184043020"/>
      <w:bookmarkStart w:id="131" w:name="_Toc389620172"/>
      <w:bookmarkStart w:id="132" w:name="_Toc385992333"/>
      <w:bookmarkStart w:id="133" w:name="_Toc10350"/>
      <w:r>
        <w:rPr>
          <w:rFonts w:hint="eastAsia" w:ascii="仿宋" w:hAnsi="仿宋" w:eastAsia="仿宋" w:cs="仿宋"/>
          <w:b/>
          <w:i w:val="0"/>
          <w:iCs w:val="0"/>
          <w:color w:val="auto"/>
          <w:sz w:val="21"/>
          <w:szCs w:val="21"/>
          <w:highlight w:val="none"/>
        </w:rPr>
        <w:t>7.     磋商文件的澄清</w:t>
      </w:r>
      <w:bookmarkEnd w:id="126"/>
      <w:bookmarkEnd w:id="127"/>
      <w:bookmarkEnd w:id="128"/>
      <w:bookmarkEnd w:id="129"/>
      <w:bookmarkEnd w:id="130"/>
      <w:bookmarkEnd w:id="131"/>
      <w:bookmarkEnd w:id="132"/>
      <w:r>
        <w:rPr>
          <w:rFonts w:hint="eastAsia" w:ascii="仿宋" w:hAnsi="仿宋" w:eastAsia="仿宋" w:cs="仿宋"/>
          <w:b/>
          <w:i w:val="0"/>
          <w:iCs w:val="0"/>
          <w:color w:val="auto"/>
          <w:sz w:val="21"/>
          <w:szCs w:val="21"/>
          <w:highlight w:val="none"/>
        </w:rPr>
        <w:t>和修改</w:t>
      </w:r>
      <w:bookmarkEnd w:id="133"/>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134" w:name="_Toc385992334"/>
      <w:bookmarkStart w:id="135" w:name="_Toc389620173"/>
      <w:bookmarkStart w:id="136" w:name="_Toc70687148"/>
      <w:r>
        <w:rPr>
          <w:rFonts w:hint="eastAsia" w:ascii="仿宋" w:hAnsi="仿宋" w:eastAsia="仿宋" w:cs="仿宋"/>
          <w:i w:val="0"/>
          <w:iCs w:val="0"/>
          <w:color w:val="auto"/>
          <w:sz w:val="21"/>
          <w:szCs w:val="21"/>
          <w:highlight w:val="none"/>
        </w:rPr>
        <w:t xml:space="preserve">7.1    </w:t>
      </w:r>
      <w:bookmarkEnd w:id="134"/>
      <w:bookmarkEnd w:id="135"/>
      <w:bookmarkEnd w:id="136"/>
      <w:bookmarkStart w:id="137" w:name="_Toc492955418"/>
      <w:bookmarkStart w:id="138" w:name="_Toc496324582"/>
      <w:bookmarkStart w:id="139" w:name="_Toc385992335"/>
      <w:bookmarkStart w:id="140" w:name="_Toc53722843"/>
      <w:bookmarkStart w:id="141" w:name="_Toc499711887"/>
      <w:bookmarkStart w:id="142" w:name="_Toc499711046"/>
      <w:bookmarkStart w:id="143" w:name="_Toc70687149"/>
      <w:bookmarkStart w:id="144" w:name="_Toc500747192"/>
      <w:bookmarkStart w:id="145" w:name="_Toc389620174"/>
      <w:bookmarkStart w:id="146" w:name="_Toc503063425"/>
      <w:bookmarkStart w:id="147" w:name="_Toc500746969"/>
      <w:bookmarkStart w:id="148" w:name="_Toc500747065"/>
      <w:r>
        <w:rPr>
          <w:rFonts w:hint="eastAsia" w:ascii="仿宋" w:hAnsi="仿宋" w:eastAsia="仿宋" w:cs="仿宋"/>
          <w:i w:val="0"/>
          <w:iCs w:val="0"/>
          <w:color w:val="auto"/>
          <w:sz w:val="21"/>
          <w:szCs w:val="21"/>
          <w:highlight w:val="none"/>
        </w:rPr>
        <w:t>在首次响应文件递交截止时间前，</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可以对已发出的磋商文件进行必要的澄清或修改，澄清或修改的内容为磋商文件的组成部分。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7.2    磋商文件的修改将以书面形式通知所有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磋商文件的供应商，并对其具有约束力。供应商在收到上述通知后，应立即向采购人回函确认。</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7.3    澄清或修改的内容可能影响响应文件编制的，</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可适当延长首次响应文件递交截止时间，并以书面形式通知所有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49" w:name="_Toc232176275"/>
      <w:bookmarkStart w:id="150" w:name="_Toc176882545"/>
      <w:bookmarkStart w:id="151" w:name="_Toc177189238"/>
      <w:bookmarkStart w:id="152" w:name="_Toc177995476"/>
      <w:bookmarkStart w:id="153" w:name="_Toc249515400"/>
      <w:bookmarkStart w:id="154" w:name="_Toc230099800"/>
      <w:bookmarkStart w:id="155" w:name="_Toc230583544"/>
      <w:bookmarkStart w:id="156" w:name="_Toc249525169"/>
      <w:bookmarkStart w:id="157" w:name="_Toc21532"/>
      <w:bookmarkStart w:id="158" w:name="_Toc232395215"/>
      <w:bookmarkStart w:id="159" w:name="_Toc177817337"/>
      <w:bookmarkStart w:id="160" w:name="_Toc230013635"/>
      <w:bookmarkStart w:id="161" w:name="_Toc256342146"/>
      <w:bookmarkStart w:id="162" w:name="_Toc249515288"/>
      <w:bookmarkStart w:id="163" w:name="_Toc184043022"/>
      <w:r>
        <w:rPr>
          <w:rFonts w:hint="eastAsia" w:ascii="仿宋" w:hAnsi="仿宋" w:eastAsia="仿宋" w:cs="仿宋"/>
          <w:i w:val="0"/>
          <w:iCs w:val="0"/>
          <w:color w:val="auto"/>
          <w:sz w:val="21"/>
          <w:szCs w:val="21"/>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64" w:name="_Toc249525170"/>
      <w:bookmarkStart w:id="165" w:name="_Toc249515289"/>
      <w:bookmarkStart w:id="166" w:name="_Toc184043023"/>
      <w:bookmarkStart w:id="167" w:name="_Toc30150"/>
      <w:bookmarkStart w:id="168" w:name="_Toc249515401"/>
      <w:bookmarkStart w:id="169" w:name="_Toc70687150"/>
      <w:bookmarkStart w:id="170" w:name="_Toc389620176"/>
      <w:bookmarkStart w:id="171" w:name="_Toc385992337"/>
      <w:r>
        <w:rPr>
          <w:rFonts w:hint="eastAsia" w:ascii="仿宋" w:hAnsi="仿宋" w:eastAsia="仿宋" w:cs="仿宋"/>
          <w:b/>
          <w:i w:val="0"/>
          <w:iCs w:val="0"/>
          <w:color w:val="auto"/>
          <w:sz w:val="21"/>
          <w:szCs w:val="21"/>
          <w:highlight w:val="none"/>
        </w:rPr>
        <w:t>8.     响应文件语言</w:t>
      </w:r>
      <w:bookmarkEnd w:id="164"/>
      <w:bookmarkEnd w:id="165"/>
      <w:bookmarkEnd w:id="166"/>
      <w:bookmarkEnd w:id="167"/>
      <w:bookmarkEnd w:id="168"/>
      <w:bookmarkEnd w:id="169"/>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8.1    响应文件及与响应相关的所有文件均应以中文书写。</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2" w:name="_Toc249515290"/>
      <w:bookmarkStart w:id="173" w:name="_Toc184043024"/>
      <w:bookmarkStart w:id="174" w:name="_Toc249515402"/>
      <w:bookmarkStart w:id="175" w:name="_Toc70687151"/>
      <w:bookmarkStart w:id="176" w:name="_Toc18327"/>
      <w:bookmarkStart w:id="177" w:name="_Toc249525171"/>
      <w:r>
        <w:rPr>
          <w:rFonts w:hint="eastAsia" w:ascii="仿宋" w:hAnsi="仿宋" w:eastAsia="仿宋" w:cs="仿宋"/>
          <w:b/>
          <w:i w:val="0"/>
          <w:iCs w:val="0"/>
          <w:color w:val="auto"/>
          <w:sz w:val="21"/>
          <w:szCs w:val="21"/>
          <w:highlight w:val="none"/>
        </w:rPr>
        <w:t>9.     计量单位</w:t>
      </w:r>
      <w:bookmarkEnd w:id="170"/>
      <w:bookmarkEnd w:id="171"/>
      <w:bookmarkEnd w:id="172"/>
      <w:bookmarkEnd w:id="173"/>
      <w:bookmarkEnd w:id="174"/>
      <w:bookmarkEnd w:id="175"/>
      <w:bookmarkEnd w:id="176"/>
      <w:bookmarkEnd w:id="177"/>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9.1    除在磋商文件的技术规格中另有规定外，计量单位应使用中华人民共和国法定计量单位。</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8" w:name="_Toc184043025"/>
      <w:bookmarkStart w:id="179" w:name="_Toc249525172"/>
      <w:bookmarkStart w:id="180" w:name="_Toc249515403"/>
      <w:bookmarkStart w:id="181" w:name="_Toc385992338"/>
      <w:bookmarkStart w:id="182" w:name="_Toc29318"/>
      <w:bookmarkStart w:id="183" w:name="_Toc389620177"/>
      <w:bookmarkStart w:id="184" w:name="_Toc249515291"/>
      <w:bookmarkStart w:id="185" w:name="_Toc70687152"/>
      <w:r>
        <w:rPr>
          <w:rFonts w:hint="eastAsia" w:ascii="仿宋" w:hAnsi="仿宋" w:eastAsia="仿宋" w:cs="仿宋"/>
          <w:b/>
          <w:i w:val="0"/>
          <w:iCs w:val="0"/>
          <w:color w:val="auto"/>
          <w:sz w:val="21"/>
          <w:szCs w:val="21"/>
          <w:highlight w:val="none"/>
        </w:rPr>
        <w:t>10.    响应文件的组成</w:t>
      </w:r>
      <w:bookmarkEnd w:id="178"/>
      <w:bookmarkEnd w:id="179"/>
      <w:bookmarkEnd w:id="180"/>
      <w:bookmarkEnd w:id="181"/>
      <w:bookmarkEnd w:id="182"/>
      <w:bookmarkEnd w:id="183"/>
      <w:bookmarkEnd w:id="184"/>
      <w:bookmarkEnd w:id="185"/>
    </w:p>
    <w:p>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10.1   供应商编写的响应文件</w:t>
      </w:r>
      <w:r>
        <w:rPr>
          <w:rFonts w:hint="eastAsia" w:ascii="仿宋" w:hAnsi="仿宋" w:eastAsia="仿宋" w:cs="仿宋"/>
          <w:b/>
          <w:i w:val="0"/>
          <w:iCs w:val="0"/>
          <w:color w:val="auto"/>
          <w:sz w:val="21"/>
          <w:szCs w:val="21"/>
          <w:highlight w:val="none"/>
        </w:rPr>
        <w:t>由《资格证明文件》、《商务及技术文件》两部分</w:t>
      </w:r>
      <w:r>
        <w:rPr>
          <w:rFonts w:hint="eastAsia" w:ascii="仿宋" w:hAnsi="仿宋" w:eastAsia="仿宋" w:cs="仿宋"/>
          <w:i w:val="0"/>
          <w:iCs w:val="0"/>
          <w:color w:val="auto"/>
          <w:sz w:val="21"/>
          <w:szCs w:val="21"/>
          <w:highlight w:val="none"/>
        </w:rPr>
        <w:t>组成。供应商应完整地按照磋商文件提供的响应文件格式及要求编写响应文件。响应文件中资格审查和符合性审查涉及的事项不满足要求的，其响应文件将被认定为无效。</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10.2   供应商提供的以上材料必须真实有效，任何一项的虚假将导致其响应被拒绝。</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86" w:name="_Toc26312"/>
      <w:bookmarkStart w:id="187" w:name="_Toc70687153"/>
      <w:bookmarkStart w:id="188" w:name="_Toc385992339"/>
      <w:bookmarkStart w:id="189" w:name="_Toc249515292"/>
      <w:bookmarkStart w:id="190" w:name="_Toc389620178"/>
      <w:bookmarkStart w:id="191" w:name="_Toc184043026"/>
      <w:bookmarkStart w:id="192" w:name="_Toc249525173"/>
      <w:bookmarkStart w:id="193" w:name="_Toc249515404"/>
      <w:r>
        <w:rPr>
          <w:rFonts w:hint="eastAsia" w:ascii="仿宋" w:hAnsi="仿宋" w:eastAsia="仿宋" w:cs="仿宋"/>
          <w:b/>
          <w:i w:val="0"/>
          <w:iCs w:val="0"/>
          <w:color w:val="auto"/>
          <w:sz w:val="21"/>
          <w:szCs w:val="21"/>
          <w:highlight w:val="none"/>
        </w:rPr>
        <w:t>11.    响应文件格式</w:t>
      </w:r>
      <w:bookmarkEnd w:id="186"/>
      <w:bookmarkEnd w:id="187"/>
      <w:bookmarkEnd w:id="188"/>
      <w:bookmarkEnd w:id="189"/>
      <w:bookmarkEnd w:id="190"/>
      <w:bookmarkEnd w:id="191"/>
      <w:bookmarkEnd w:id="192"/>
      <w:bookmarkEnd w:id="193"/>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11.1   对于磋商文件第六章中已经提供了格式的响应文件内容，供应商必须按提供的响应文件格式进行填写和编制，没有提供格式的可自行设计。</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4" w:name="_Toc26688"/>
      <w:r>
        <w:rPr>
          <w:rFonts w:hint="eastAsia" w:ascii="仿宋" w:hAnsi="仿宋" w:eastAsia="仿宋" w:cs="仿宋"/>
          <w:b/>
          <w:i w:val="0"/>
          <w:iCs w:val="0"/>
          <w:color w:val="auto"/>
          <w:sz w:val="21"/>
          <w:szCs w:val="21"/>
          <w:highlight w:val="none"/>
        </w:rPr>
        <w:t>12.    响应报价</w:t>
      </w:r>
      <w:bookmarkEnd w:id="194"/>
    </w:p>
    <w:p>
      <w:pPr>
        <w:keepNext w:val="0"/>
        <w:keepLines w:val="0"/>
        <w:pageBreakBefore w:val="0"/>
        <w:tabs>
          <w:tab w:val="left" w:pos="0"/>
          <w:tab w:val="left" w:pos="540"/>
          <w:tab w:val="left" w:pos="72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i w:val="0"/>
          <w:iCs w:val="0"/>
          <w:color w:val="auto"/>
          <w:kern w:val="24"/>
          <w:sz w:val="21"/>
          <w:szCs w:val="21"/>
          <w:highlight w:val="none"/>
        </w:rPr>
        <w:t>供应商须知前附表。</w:t>
      </w:r>
    </w:p>
    <w:p>
      <w:pPr>
        <w:keepNext w:val="0"/>
        <w:keepLines w:val="0"/>
        <w:pageBreakBefore w:val="0"/>
        <w:tabs>
          <w:tab w:val="left" w:pos="540"/>
          <w:tab w:val="left" w:pos="8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12.2   供应商应在响应分项报价表中详细列出所报</w:t>
      </w:r>
      <w:r>
        <w:rPr>
          <w:rFonts w:hint="eastAsia" w:ascii="仿宋" w:hAnsi="仿宋" w:eastAsia="仿宋" w:cs="仿宋"/>
          <w:i w:val="0"/>
          <w:iCs w:val="0"/>
          <w:color w:val="auto"/>
          <w:sz w:val="21"/>
          <w:szCs w:val="21"/>
          <w:highlight w:val="none"/>
        </w:rPr>
        <w:t>服务</w:t>
      </w:r>
      <w:r>
        <w:rPr>
          <w:rFonts w:hint="eastAsia" w:ascii="仿宋" w:hAnsi="仿宋" w:eastAsia="仿宋" w:cs="仿宋"/>
          <w:i w:val="0"/>
          <w:iCs w:val="0"/>
          <w:color w:val="auto"/>
          <w:kern w:val="24"/>
          <w:sz w:val="21"/>
          <w:szCs w:val="21"/>
          <w:highlight w:val="none"/>
        </w:rPr>
        <w:t>的单价（如适用）和总价，并由法定代表人或其授权代表签署并加盖公章。响应分项报价表上的价格应按磋商文件第六章的格式填写。</w:t>
      </w:r>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12.4   供应商的所报单价在合同执行过程中是固定不变的，未经采购人许可不得以任何理由予以变更。以可调整的价格提交的响应文件将作为非实质性响应而予以拒绝。</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12.5   供应商每次对每种</w:t>
      </w:r>
      <w:r>
        <w:rPr>
          <w:rFonts w:hint="eastAsia" w:ascii="仿宋" w:hAnsi="仿宋" w:eastAsia="仿宋" w:cs="仿宋"/>
          <w:i w:val="0"/>
          <w:iCs w:val="0"/>
          <w:color w:val="auto"/>
          <w:kern w:val="24"/>
          <w:sz w:val="21"/>
          <w:szCs w:val="21"/>
          <w:highlight w:val="none"/>
          <w:u w:val="single"/>
        </w:rPr>
        <w:t xml:space="preserve"> 服务</w:t>
      </w:r>
      <w:r>
        <w:rPr>
          <w:rFonts w:hint="eastAsia" w:ascii="仿宋" w:hAnsi="仿宋" w:eastAsia="仿宋" w:cs="仿宋"/>
          <w:i w:val="0"/>
          <w:iCs w:val="0"/>
          <w:color w:val="auto"/>
          <w:kern w:val="24"/>
          <w:sz w:val="21"/>
          <w:szCs w:val="21"/>
          <w:highlight w:val="none"/>
        </w:rPr>
        <w:t>只允许有一个报价，采购人不接受有任何选择的报价。</w:t>
      </w:r>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12.6   供应商根据本须知12.2条规定将响应报价分成几部分并按</w:t>
      </w:r>
      <w:r>
        <w:rPr>
          <w:rFonts w:hint="eastAsia" w:ascii="仿宋" w:hAnsi="仿宋" w:eastAsia="仿宋" w:cs="仿宋"/>
          <w:i w:val="0"/>
          <w:iCs w:val="0"/>
          <w:color w:val="auto"/>
          <w:kern w:val="24"/>
          <w:sz w:val="21"/>
          <w:szCs w:val="21"/>
          <w:highlight w:val="none"/>
        </w:rPr>
        <w:t>磋商文件第六章提供的格式填写“响应分项报价表”，只是为了方便采购人对响应文件进行比较，并不限制采购人以其它方式签订合同的权力。</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5" w:name="_Toc184043028"/>
      <w:bookmarkStart w:id="196" w:name="_Toc389620180"/>
      <w:bookmarkStart w:id="197" w:name="_Toc70687155"/>
      <w:bookmarkStart w:id="198" w:name="_Toc249515294"/>
      <w:bookmarkStart w:id="199" w:name="_Toc20687"/>
      <w:bookmarkStart w:id="200" w:name="_Toc385992341"/>
      <w:bookmarkStart w:id="201" w:name="_Toc249525175"/>
      <w:bookmarkStart w:id="202" w:name="_Toc249515406"/>
      <w:r>
        <w:rPr>
          <w:rFonts w:hint="eastAsia" w:ascii="仿宋" w:hAnsi="仿宋" w:eastAsia="仿宋" w:cs="仿宋"/>
          <w:b/>
          <w:i w:val="0"/>
          <w:iCs w:val="0"/>
          <w:color w:val="auto"/>
          <w:sz w:val="21"/>
          <w:szCs w:val="21"/>
          <w:highlight w:val="none"/>
        </w:rPr>
        <w:t>13.    报价货币</w:t>
      </w:r>
      <w:bookmarkEnd w:id="195"/>
      <w:bookmarkEnd w:id="196"/>
      <w:bookmarkEnd w:id="197"/>
      <w:bookmarkEnd w:id="198"/>
      <w:bookmarkEnd w:id="199"/>
      <w:bookmarkEnd w:id="200"/>
      <w:bookmarkEnd w:id="201"/>
      <w:bookmarkEnd w:id="202"/>
    </w:p>
    <w:p>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kern w:val="24"/>
          <w:sz w:val="21"/>
          <w:szCs w:val="21"/>
          <w:highlight w:val="none"/>
        </w:rPr>
      </w:pPr>
      <w:bookmarkStart w:id="205" w:name="止观"/>
      <w:bookmarkEnd w:id="205"/>
      <w:r>
        <w:rPr>
          <w:rFonts w:hint="eastAsia" w:ascii="仿宋" w:hAnsi="仿宋" w:eastAsia="仿宋" w:cs="仿宋"/>
          <w:b/>
          <w:i w:val="0"/>
          <w:iCs w:val="0"/>
          <w:color w:val="auto"/>
          <w:sz w:val="21"/>
          <w:szCs w:val="21"/>
          <w:highlight w:val="none"/>
        </w:rPr>
        <w:t>14.    磋商保证金</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14.1   本项目须在磋商前向</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提供</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规定金额的保证金，并作为其响应文件的一部分。</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14.2   保证金的货币为人民币，并采用下列任何一种非现金形式向</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递交：</w:t>
      </w:r>
    </w:p>
    <w:p>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电汇；</w:t>
      </w:r>
    </w:p>
    <w:p>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银行转账；</w:t>
      </w:r>
    </w:p>
    <w:p>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支票、汇票、本票、金融机构或担保机构出具的保函等非现金形式。</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14.4   凡没有根据本须知第14.1条的规定随附保证金的响应文件，将被视为非响应性予以拒绝。</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14.5   未成交供应商的保证金, 采购</w:t>
      </w:r>
      <w:r>
        <w:rPr>
          <w:rFonts w:hint="eastAsia" w:ascii="仿宋" w:hAnsi="仿宋" w:eastAsia="仿宋" w:cs="仿宋"/>
          <w:i w:val="0"/>
          <w:iCs w:val="0"/>
          <w:color w:val="auto"/>
          <w:kern w:val="24"/>
          <w:sz w:val="21"/>
          <w:szCs w:val="21"/>
          <w:highlight w:val="none"/>
          <w:lang w:eastAsia="zh-CN"/>
        </w:rPr>
        <w:t>人</w:t>
      </w:r>
      <w:r>
        <w:rPr>
          <w:rFonts w:hint="eastAsia" w:ascii="仿宋" w:hAnsi="仿宋" w:eastAsia="仿宋" w:cs="仿宋"/>
          <w:i w:val="0"/>
          <w:iCs w:val="0"/>
          <w:color w:val="auto"/>
          <w:kern w:val="24"/>
          <w:sz w:val="21"/>
          <w:szCs w:val="21"/>
          <w:highlight w:val="none"/>
        </w:rPr>
        <w:t>将在成交通知书发出后5个工作日内退还。</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14.6   成交供应商的保证金在按本须知第26条规定签订合同后5个工作日退还。</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14.7   成交供应商有下列情形之一的，</w:t>
      </w:r>
      <w:r>
        <w:rPr>
          <w:rFonts w:hint="eastAsia" w:ascii="仿宋" w:hAnsi="仿宋" w:eastAsia="仿宋" w:cs="仿宋"/>
          <w:i w:val="0"/>
          <w:iCs w:val="0"/>
          <w:color w:val="auto"/>
          <w:kern w:val="24"/>
          <w:sz w:val="21"/>
          <w:szCs w:val="21"/>
          <w:highlight w:val="none"/>
          <w:lang w:eastAsia="zh-CN"/>
        </w:rPr>
        <w:t>采购人</w:t>
      </w:r>
      <w:r>
        <w:rPr>
          <w:rFonts w:hint="eastAsia" w:ascii="仿宋" w:hAnsi="仿宋" w:eastAsia="仿宋" w:cs="仿宋"/>
          <w:i w:val="0"/>
          <w:iCs w:val="0"/>
          <w:color w:val="auto"/>
          <w:kern w:val="24"/>
          <w:sz w:val="21"/>
          <w:szCs w:val="21"/>
          <w:highlight w:val="none"/>
        </w:rPr>
        <w:t>不予退还其交纳的保证金，并在项目财政主管部门备案；情节严重的，由财政部门将其列入不良行为纪录名单予以通报，在一至三年内禁止参加政府采购活动：</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供应商在提交响应文件截止时间后撤销响应文件的；</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供应商在响应文件中提供虚假材料的；</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除因不可抗力外，成交供应商在规定期限内未能根据本须知第26条规定签订合同； </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供应商与其他供应商恶意串通的；</w:t>
      </w:r>
    </w:p>
    <w:p>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成交供应商未按本须知第29条规定缴纳服务费。</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06" w:name="_Toc249515408"/>
      <w:bookmarkStart w:id="207" w:name="_Toc7949"/>
      <w:bookmarkStart w:id="208" w:name="_Toc249525177"/>
      <w:bookmarkStart w:id="209" w:name="_Toc249515296"/>
      <w:r>
        <w:rPr>
          <w:rFonts w:hint="eastAsia" w:ascii="仿宋" w:hAnsi="仿宋" w:eastAsia="仿宋" w:cs="仿宋"/>
          <w:b/>
          <w:i w:val="0"/>
          <w:iCs w:val="0"/>
          <w:color w:val="auto"/>
          <w:sz w:val="21"/>
          <w:szCs w:val="21"/>
          <w:highlight w:val="none"/>
        </w:rPr>
        <w:t>15.    磋商有效期</w:t>
      </w:r>
      <w:bookmarkEnd w:id="206"/>
      <w:bookmarkEnd w:id="207"/>
      <w:bookmarkEnd w:id="208"/>
      <w:bookmarkEnd w:id="209"/>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   磋商有效期见</w:t>
      </w:r>
      <w:r>
        <w:rPr>
          <w:rFonts w:hint="eastAsia" w:ascii="仿宋" w:hAnsi="仿宋" w:eastAsia="仿宋" w:cs="仿宋"/>
          <w:b/>
          <w:i w:val="0"/>
          <w:iCs w:val="0"/>
          <w:color w:val="auto"/>
          <w:sz w:val="21"/>
          <w:szCs w:val="21"/>
          <w:highlight w:val="none"/>
        </w:rPr>
        <w:t>本须知前附表</w:t>
      </w:r>
      <w:r>
        <w:rPr>
          <w:rFonts w:hint="eastAsia" w:ascii="仿宋" w:hAnsi="仿宋" w:eastAsia="仿宋" w:cs="仿宋"/>
          <w:i w:val="0"/>
          <w:iCs w:val="0"/>
          <w:color w:val="auto"/>
          <w:sz w:val="21"/>
          <w:szCs w:val="21"/>
          <w:highlight w:val="none"/>
        </w:rPr>
        <w:t>。在磋商有效期内，所有响应文件均保持有效。响应文件的有效期比本须知规定的有效期短的，将被视为非实质响应，采购人有权拒绝。</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10" w:name="_Toc385992346"/>
      <w:bookmarkStart w:id="211" w:name="_Toc249515409"/>
      <w:bookmarkStart w:id="212" w:name="_Toc70687160"/>
      <w:bookmarkStart w:id="213" w:name="_Toc249525178"/>
      <w:bookmarkStart w:id="214" w:name="_Toc389620185"/>
      <w:bookmarkStart w:id="215" w:name="_Toc16612"/>
      <w:bookmarkStart w:id="216" w:name="_Toc249515297"/>
      <w:bookmarkStart w:id="217" w:name="_Toc184043033"/>
      <w:r>
        <w:rPr>
          <w:rFonts w:hint="eastAsia" w:ascii="仿宋" w:hAnsi="仿宋" w:eastAsia="仿宋" w:cs="仿宋"/>
          <w:b/>
          <w:i w:val="0"/>
          <w:iCs w:val="0"/>
          <w:color w:val="auto"/>
          <w:sz w:val="21"/>
          <w:szCs w:val="21"/>
          <w:highlight w:val="none"/>
        </w:rPr>
        <w:t>16.    响应文件的制作和签署</w:t>
      </w:r>
      <w:bookmarkEnd w:id="210"/>
      <w:bookmarkEnd w:id="211"/>
      <w:bookmarkEnd w:id="212"/>
      <w:bookmarkEnd w:id="213"/>
      <w:bookmarkEnd w:id="214"/>
      <w:bookmarkEnd w:id="215"/>
      <w:bookmarkEnd w:id="216"/>
      <w:bookmarkEnd w:id="217"/>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   供应商应准备一份响应文件正本和“</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”中规定数目的副本，每套响应文件须清楚地标明“正本”、“副本”。若正本和副本不符，以正本为准。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16.2   响应文件须用中文编写，并采用A4纸张装订成册。装订须牢固，不易拆散和换页，采用软胶装，不得采用活页方式装订，封面不建议硬装。</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16.3   响应文件的正本，一律用不褪色的墨水书写或打印，签字页加盖供应商单位公章，并由供应商的法定代表人或其授权的代理人签署。响应文件的副本可采用正本的复印件。</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16.4   任何行间插字、涂改或增删，必须由响应文件签字人将姓或首字母在旁边签字才有效。</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16.5   采购人不接受以电报、电话、传真、电子邮件形式递交的响应文件。</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18" w:name="_Hlt491765640"/>
      <w:bookmarkEnd w:id="218"/>
      <w:bookmarkStart w:id="219" w:name="_Toc230583545"/>
      <w:bookmarkStart w:id="220" w:name="_Toc249515298"/>
      <w:bookmarkStart w:id="221" w:name="_Toc230099801"/>
      <w:bookmarkStart w:id="222" w:name="_Toc177995477"/>
      <w:bookmarkStart w:id="223" w:name="_Toc249525179"/>
      <w:bookmarkStart w:id="224" w:name="_Toc256342147"/>
      <w:bookmarkStart w:id="225" w:name="_Toc389620186"/>
      <w:bookmarkStart w:id="226" w:name="_Toc499711888"/>
      <w:bookmarkStart w:id="227" w:name="_Toc249515410"/>
      <w:bookmarkStart w:id="228" w:name="_Toc176882546"/>
      <w:bookmarkStart w:id="229" w:name="_Toc499711047"/>
      <w:bookmarkStart w:id="230" w:name="_Toc503063426"/>
      <w:bookmarkStart w:id="231" w:name="_Toc184043034"/>
      <w:bookmarkStart w:id="232" w:name="_Toc53722844"/>
      <w:bookmarkStart w:id="233" w:name="_Toc230013636"/>
      <w:bookmarkStart w:id="234" w:name="_Toc177817338"/>
      <w:bookmarkStart w:id="235" w:name="_Toc496324583"/>
      <w:bookmarkStart w:id="236" w:name="_Toc177189239"/>
      <w:bookmarkStart w:id="237" w:name="_Toc492955419"/>
      <w:bookmarkStart w:id="238" w:name="_Toc500747066"/>
      <w:bookmarkStart w:id="239" w:name="_Toc232176276"/>
      <w:bookmarkStart w:id="240" w:name="_Toc500746970"/>
      <w:bookmarkStart w:id="241" w:name="_Toc500747193"/>
      <w:bookmarkStart w:id="242" w:name="_Toc70687161"/>
      <w:bookmarkStart w:id="243" w:name="_Toc232395216"/>
      <w:bookmarkStart w:id="244" w:name="_Toc385992347"/>
      <w:r>
        <w:rPr>
          <w:rFonts w:hint="eastAsia" w:ascii="仿宋" w:hAnsi="仿宋" w:eastAsia="仿宋" w:cs="仿宋"/>
          <w:i w:val="0"/>
          <w:iCs w:val="0"/>
          <w:color w:val="auto"/>
          <w:sz w:val="21"/>
          <w:szCs w:val="21"/>
          <w:highlight w:val="none"/>
        </w:rPr>
        <w:t>16.7   响应文件应按照“资格证明文件”和“商务及技术文件”分成两部分，并用不可拆装的方式分别装订成册。</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245" w:name="_Toc7050"/>
      <w:r>
        <w:rPr>
          <w:rFonts w:hint="eastAsia" w:ascii="仿宋" w:hAnsi="仿宋" w:eastAsia="仿宋" w:cs="仿宋"/>
          <w:i w:val="0"/>
          <w:iCs w:val="0"/>
          <w:color w:val="auto"/>
          <w:sz w:val="21"/>
          <w:szCs w:val="21"/>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46" w:name="_Toc249515411"/>
      <w:bookmarkStart w:id="247" w:name="_Toc70687162"/>
      <w:bookmarkStart w:id="248" w:name="_Toc249515299"/>
      <w:bookmarkStart w:id="249" w:name="_Toc184043035"/>
      <w:bookmarkStart w:id="250" w:name="_Toc4042"/>
      <w:bookmarkStart w:id="251" w:name="_Toc249525180"/>
      <w:bookmarkStart w:id="252" w:name="_Toc385992348"/>
      <w:bookmarkStart w:id="253" w:name="_Toc389620187"/>
      <w:r>
        <w:rPr>
          <w:rFonts w:hint="eastAsia" w:ascii="仿宋" w:hAnsi="仿宋" w:eastAsia="仿宋" w:cs="仿宋"/>
          <w:b/>
          <w:i w:val="0"/>
          <w:iCs w:val="0"/>
          <w:color w:val="auto"/>
          <w:sz w:val="21"/>
          <w:szCs w:val="21"/>
          <w:highlight w:val="none"/>
        </w:rPr>
        <w:t>17.    响应文件的密封和标记</w:t>
      </w:r>
      <w:bookmarkEnd w:id="246"/>
      <w:bookmarkEnd w:id="247"/>
      <w:bookmarkEnd w:id="248"/>
      <w:bookmarkEnd w:id="249"/>
      <w:bookmarkEnd w:id="250"/>
      <w:bookmarkEnd w:id="251"/>
      <w:bookmarkEnd w:id="252"/>
      <w:bookmarkEnd w:id="253"/>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54" w:name="_Toc389620188"/>
      <w:bookmarkStart w:id="255" w:name="_Toc385992349"/>
      <w:bookmarkStart w:id="256" w:name="_Toc184043036"/>
      <w:bookmarkStart w:id="257" w:name="_Toc70687163"/>
      <w:r>
        <w:rPr>
          <w:rFonts w:hint="eastAsia" w:ascii="仿宋" w:hAnsi="仿宋" w:eastAsia="仿宋" w:cs="仿宋"/>
          <w:i w:val="0"/>
          <w:iCs w:val="0"/>
          <w:color w:val="auto"/>
          <w:kern w:val="0"/>
          <w:sz w:val="21"/>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pPr>
        <w:keepNext w:val="0"/>
        <w:keepLines w:val="0"/>
        <w:pageBreakBefore w:val="0"/>
        <w:tabs>
          <w:tab w:val="left" w:pos="588"/>
        </w:tabs>
        <w:kinsoku/>
        <w:wordWrap/>
        <w:overflowPunct/>
        <w:topLinePunct w:val="0"/>
        <w:autoSpaceDE w:val="0"/>
        <w:autoSpaceDN w:val="0"/>
        <w:bidi w:val="0"/>
        <w:adjustRightIn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17.2   密封袋（箱）上标识的内容见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响应文件</w:t>
      </w:r>
      <w:r>
        <w:rPr>
          <w:rFonts w:hint="eastAsia" w:ascii="仿宋" w:hAnsi="仿宋" w:eastAsia="仿宋" w:cs="仿宋"/>
          <w:i w:val="0"/>
          <w:iCs w:val="0"/>
          <w:color w:val="auto"/>
          <w:kern w:val="0"/>
          <w:sz w:val="21"/>
          <w:szCs w:val="21"/>
          <w:highlight w:val="none"/>
        </w:rPr>
        <w:t>如果</w:t>
      </w:r>
      <w:r>
        <w:rPr>
          <w:rFonts w:hint="eastAsia" w:ascii="仿宋" w:hAnsi="仿宋" w:eastAsia="仿宋" w:cs="仿宋"/>
          <w:i w:val="0"/>
          <w:iCs w:val="0"/>
          <w:color w:val="auto"/>
          <w:sz w:val="21"/>
          <w:szCs w:val="21"/>
          <w:highlight w:val="none"/>
        </w:rPr>
        <w:t>未按上述规定密封和标记，</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应当拒绝接收。</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bookmarkEnd w:id="254"/>
    <w:bookmarkEnd w:id="255"/>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58" w:name="_Toc249515412"/>
      <w:bookmarkStart w:id="259" w:name="_Toc31171"/>
      <w:bookmarkStart w:id="260" w:name="_Toc249515300"/>
      <w:bookmarkStart w:id="261" w:name="_Toc249525181"/>
      <w:r>
        <w:rPr>
          <w:rFonts w:hint="eastAsia" w:ascii="仿宋" w:hAnsi="仿宋" w:eastAsia="仿宋" w:cs="仿宋"/>
          <w:b/>
          <w:i w:val="0"/>
          <w:iCs w:val="0"/>
          <w:color w:val="auto"/>
          <w:sz w:val="21"/>
          <w:szCs w:val="21"/>
          <w:highlight w:val="none"/>
        </w:rPr>
        <w:t>18.    响应文件递交截止时间</w:t>
      </w:r>
      <w:bookmarkEnd w:id="256"/>
      <w:bookmarkEnd w:id="257"/>
      <w:bookmarkEnd w:id="258"/>
      <w:bookmarkEnd w:id="259"/>
      <w:bookmarkEnd w:id="260"/>
      <w:bookmarkEnd w:id="261"/>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bookmarkStart w:id="262" w:name="_Toc184043037"/>
      <w:bookmarkStart w:id="263" w:name="_Toc389620189"/>
      <w:bookmarkStart w:id="264" w:name="_Toc385992350"/>
      <w:bookmarkStart w:id="265" w:name="_Toc70687164"/>
      <w:r>
        <w:rPr>
          <w:rFonts w:hint="eastAsia" w:ascii="仿宋" w:hAnsi="仿宋" w:eastAsia="仿宋" w:cs="仿宋"/>
          <w:i w:val="0"/>
          <w:iCs w:val="0"/>
          <w:color w:val="auto"/>
          <w:sz w:val="21"/>
          <w:szCs w:val="21"/>
          <w:highlight w:val="none"/>
        </w:rPr>
        <w:t>18.1   响应文件递交截止时间和地点见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18.2   供应商须由其合法的授权人在响应文件递交截止时间之前将响应文件在响应文件递交地点送达采购人并签字确认。供应商须承担因未送达并签字所造成的一切责任。</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66" w:name="_Toc249525182"/>
      <w:bookmarkStart w:id="267" w:name="_Toc249515413"/>
      <w:bookmarkStart w:id="268" w:name="_Toc7175"/>
      <w:bookmarkStart w:id="269" w:name="_Toc249515301"/>
      <w:r>
        <w:rPr>
          <w:rFonts w:hint="eastAsia" w:ascii="仿宋" w:hAnsi="仿宋" w:eastAsia="仿宋" w:cs="仿宋"/>
          <w:b/>
          <w:i w:val="0"/>
          <w:iCs w:val="0"/>
          <w:color w:val="auto"/>
          <w:sz w:val="21"/>
          <w:szCs w:val="21"/>
          <w:highlight w:val="none"/>
        </w:rPr>
        <w:t>19.    迟交的响应文件</w:t>
      </w:r>
      <w:bookmarkEnd w:id="262"/>
      <w:bookmarkEnd w:id="263"/>
      <w:bookmarkEnd w:id="264"/>
      <w:bookmarkEnd w:id="265"/>
      <w:bookmarkEnd w:id="266"/>
      <w:bookmarkEnd w:id="267"/>
      <w:bookmarkEnd w:id="268"/>
      <w:bookmarkEnd w:id="269"/>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19.1   采购人将拒绝接收第18条规定的响应文件递交截止时间后递交的任何响应文件。</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70" w:name="_Toc10272"/>
      <w:bookmarkStart w:id="271" w:name="_Toc249525183"/>
      <w:bookmarkStart w:id="272" w:name="_Toc385992351"/>
      <w:bookmarkStart w:id="273" w:name="_Toc249515302"/>
      <w:bookmarkStart w:id="274" w:name="_Toc184043038"/>
      <w:bookmarkStart w:id="275" w:name="_Toc249515414"/>
      <w:bookmarkStart w:id="276" w:name="_Toc70687165"/>
      <w:bookmarkStart w:id="277" w:name="_Toc389620190"/>
      <w:r>
        <w:rPr>
          <w:rFonts w:hint="eastAsia" w:ascii="仿宋" w:hAnsi="仿宋" w:eastAsia="仿宋" w:cs="仿宋"/>
          <w:b/>
          <w:i w:val="0"/>
          <w:iCs w:val="0"/>
          <w:color w:val="auto"/>
          <w:sz w:val="21"/>
          <w:szCs w:val="21"/>
          <w:highlight w:val="none"/>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i w:val="0"/>
          <w:iCs w:val="0"/>
          <w:color w:val="auto"/>
          <w:sz w:val="21"/>
          <w:szCs w:val="21"/>
          <w:highlight w:val="none"/>
        </w:rPr>
        <w:t>回</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20.1   供应商对响应文件修改的书面材料或撤回的通知应按第16和17条规定进行编写、密封、标注和递送，并注明“修改响应文件”或“撤回响应文件”字样。</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20.2   在响应文件递交截止时间之后，供应商不得对其响应文件做任何修改。</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20.3   供应商不得在响应文件递交截止时间起至响应文件有效期期满前撤销其响应文件。</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278" w:name="_Hlt491765712"/>
      <w:bookmarkEnd w:id="278"/>
      <w:bookmarkStart w:id="279" w:name="_Hlt497729441"/>
      <w:bookmarkEnd w:id="279"/>
      <w:bookmarkStart w:id="280" w:name="_Toc256342148"/>
      <w:bookmarkStart w:id="281" w:name="_Toc249515303"/>
      <w:bookmarkStart w:id="282" w:name="_Toc249515415"/>
      <w:bookmarkStart w:id="283" w:name="_Toc249525184"/>
      <w:bookmarkStart w:id="284" w:name="_Toc21138"/>
      <w:bookmarkStart w:id="285" w:name="_Toc53722845"/>
      <w:bookmarkStart w:id="286" w:name="_Toc177995478"/>
      <w:bookmarkStart w:id="287" w:name="_Toc500747194"/>
      <w:bookmarkStart w:id="288" w:name="_Toc70687166"/>
      <w:bookmarkStart w:id="289" w:name="_Toc492955420"/>
      <w:bookmarkStart w:id="290" w:name="_Toc184043039"/>
      <w:bookmarkStart w:id="291" w:name="_Toc503063427"/>
      <w:bookmarkStart w:id="292" w:name="_Toc177189240"/>
      <w:bookmarkStart w:id="293" w:name="_Toc177817339"/>
      <w:bookmarkStart w:id="294" w:name="_Toc385992352"/>
      <w:bookmarkStart w:id="295" w:name="_Toc389620191"/>
      <w:bookmarkStart w:id="296" w:name="_Toc500746971"/>
      <w:bookmarkStart w:id="297" w:name="_Toc499711889"/>
      <w:bookmarkStart w:id="298" w:name="_Toc496324584"/>
      <w:bookmarkStart w:id="299" w:name="_Toc499711048"/>
      <w:bookmarkStart w:id="300" w:name="_Toc176882547"/>
      <w:bookmarkStart w:id="301" w:name="_Toc500747067"/>
      <w:r>
        <w:rPr>
          <w:rFonts w:hint="eastAsia" w:ascii="仿宋" w:hAnsi="仿宋" w:eastAsia="仿宋" w:cs="仿宋"/>
          <w:i w:val="0"/>
          <w:iCs w:val="0"/>
          <w:color w:val="auto"/>
          <w:sz w:val="21"/>
          <w:szCs w:val="21"/>
          <w:highlight w:val="none"/>
        </w:rPr>
        <w:t>五、评审与</w:t>
      </w:r>
      <w:bookmarkEnd w:id="280"/>
      <w:bookmarkEnd w:id="281"/>
      <w:bookmarkEnd w:id="282"/>
      <w:bookmarkEnd w:id="283"/>
      <w:r>
        <w:rPr>
          <w:rFonts w:hint="eastAsia" w:ascii="仿宋" w:hAnsi="仿宋" w:eastAsia="仿宋" w:cs="仿宋"/>
          <w:i w:val="0"/>
          <w:iCs w:val="0"/>
          <w:color w:val="auto"/>
          <w:sz w:val="21"/>
          <w:szCs w:val="21"/>
          <w:highlight w:val="none"/>
        </w:rPr>
        <w:t>磋商</w:t>
      </w:r>
      <w:bookmarkEnd w:id="284"/>
    </w:p>
    <w:p>
      <w:pPr>
        <w:pStyle w:val="5"/>
        <w:keepNext w:val="0"/>
        <w:keepLines w:val="0"/>
        <w:pageBreakBefore w:val="0"/>
        <w:numPr>
          <w:ilvl w:val="0"/>
          <w:numId w:val="8"/>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2" w:name="_Toc16042"/>
      <w:bookmarkStart w:id="303" w:name="_Toc249515417"/>
      <w:bookmarkStart w:id="304" w:name="_Toc249525186"/>
      <w:bookmarkStart w:id="305" w:name="_Toc249515305"/>
      <w:r>
        <w:rPr>
          <w:rFonts w:hint="eastAsia" w:ascii="仿宋" w:hAnsi="仿宋" w:eastAsia="仿宋" w:cs="仿宋"/>
          <w:b/>
          <w:i w:val="0"/>
          <w:iCs w:val="0"/>
          <w:color w:val="auto"/>
          <w:sz w:val="21"/>
          <w:szCs w:val="21"/>
          <w:highlight w:val="none"/>
        </w:rPr>
        <w:t xml:space="preserve">   磋商小组</w:t>
      </w:r>
      <w:bookmarkEnd w:id="302"/>
      <w:bookmarkEnd w:id="303"/>
      <w:bookmarkEnd w:id="304"/>
      <w:bookmarkEnd w:id="305"/>
    </w:p>
    <w:p>
      <w:pPr>
        <w:pStyle w:val="30"/>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21.1   在磋商开始前组建磋商小组，磋商小组由采购人代表和有关专家组成。专家从政府采购评审专家库</w:t>
      </w:r>
      <w:r>
        <w:rPr>
          <w:rFonts w:hint="eastAsia" w:ascii="仿宋" w:hAnsi="仿宋" w:eastAsia="仿宋" w:cs="仿宋"/>
          <w:i w:val="0"/>
          <w:iCs w:val="0"/>
          <w:color w:val="auto"/>
          <w:sz w:val="21"/>
          <w:szCs w:val="21"/>
          <w:highlight w:val="none"/>
          <w:lang w:eastAsia="zh-CN"/>
        </w:rPr>
        <w:t>或采购人自行组织</w:t>
      </w:r>
      <w:r>
        <w:rPr>
          <w:rFonts w:hint="eastAsia" w:ascii="仿宋" w:hAnsi="仿宋" w:eastAsia="仿宋" w:cs="仿宋"/>
          <w:i w:val="0"/>
          <w:iCs w:val="0"/>
          <w:color w:val="auto"/>
          <w:sz w:val="21"/>
          <w:szCs w:val="21"/>
          <w:highlight w:val="none"/>
        </w:rPr>
        <w:t>相关专业</w:t>
      </w:r>
      <w:r>
        <w:rPr>
          <w:rFonts w:hint="eastAsia" w:ascii="仿宋" w:hAnsi="仿宋" w:eastAsia="仿宋" w:cs="仿宋"/>
          <w:i w:val="0"/>
          <w:iCs w:val="0"/>
          <w:color w:val="auto"/>
          <w:sz w:val="21"/>
          <w:szCs w:val="21"/>
          <w:highlight w:val="none"/>
          <w:lang w:eastAsia="zh-CN"/>
        </w:rPr>
        <w:t>派出</w:t>
      </w:r>
      <w:r>
        <w:rPr>
          <w:rFonts w:hint="eastAsia" w:ascii="仿宋" w:hAnsi="仿宋" w:eastAsia="仿宋" w:cs="仿宋"/>
          <w:i w:val="0"/>
          <w:iCs w:val="0"/>
          <w:color w:val="auto"/>
          <w:sz w:val="21"/>
          <w:szCs w:val="21"/>
          <w:highlight w:val="none"/>
        </w:rPr>
        <w:t>。磋商小组组成见</w:t>
      </w:r>
      <w:r>
        <w:rPr>
          <w:rFonts w:hint="eastAsia" w:ascii="仿宋" w:hAnsi="仿宋" w:eastAsia="仿宋" w:cs="仿宋"/>
          <w:b/>
          <w:i w:val="0"/>
          <w:iCs w:val="0"/>
          <w:color w:val="auto"/>
          <w:sz w:val="21"/>
          <w:szCs w:val="21"/>
          <w:highlight w:val="none"/>
        </w:rPr>
        <w:t>供应商须知前附表。</w:t>
      </w:r>
    </w:p>
    <w:p>
      <w:pPr>
        <w:pStyle w:val="30"/>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   磋商小组职责</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（1）确认竞争性磋商文件；</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（2）审查通过了资格审查的供应商响应文件并做出评价；</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（3）要求供应商解释或者澄清其响应文件；</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（4）编写评审报告；</w:t>
      </w:r>
    </w:p>
    <w:p>
      <w:pPr>
        <w:pStyle w:val="30"/>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（5）告知采购人在评审过程中发现的供应商的违法违规行为。</w:t>
      </w:r>
    </w:p>
    <w:p>
      <w:pPr>
        <w:pStyle w:val="30"/>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21.3   磋商小组义务</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（1）遵纪客观、公正、审慎的原则；</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（2）根据磋商文件的规定评审程序、评审方法和评审标准独立进行评审，对个人的评审意见承担法律责任；</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（3）参与评审报告的起草；</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（4）配合采购人答复供应商提出的质疑；</w:t>
      </w:r>
    </w:p>
    <w:p>
      <w:pPr>
        <w:pStyle w:val="30"/>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（5）配合投诉处理和监督检查工作。</w:t>
      </w:r>
    </w:p>
    <w:p>
      <w:pPr>
        <w:pStyle w:val="30"/>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21.4   确认磋商文件：磋商小组对磋商文件进行审阅，无修改进行签字确认，有修改，修改内容经采购人确认后，磋商小组以书面形式通知所有供应商。</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22.    磋商小组成员有下列情形之一的，应当回避：</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22.1   参加采购活动前3年内与供应商存在劳动关系；</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22.2   参加采购活动前3年内担任供应商的董事、监事；</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22.3   参加采购活动前3年内是供应商的控股股东或者实际控制人；</w:t>
      </w:r>
    </w:p>
    <w:p>
      <w:pPr>
        <w:pStyle w:val="5"/>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22.4   与供应商的法定代表人或者负责人有夫妻、直系血亲、三代以内旁系血亲或者近姻亲关系；</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22.5   与供应商有其他可能影响政府采购活动公平、公正进行的关系。</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6" w:name="_Toc249515306"/>
      <w:bookmarkStart w:id="307" w:name="_Toc83547667"/>
      <w:bookmarkStart w:id="308" w:name="_Toc249515418"/>
      <w:bookmarkStart w:id="309" w:name="_Toc20608"/>
      <w:bookmarkStart w:id="310" w:name="_Toc249525187"/>
      <w:r>
        <w:rPr>
          <w:rFonts w:hint="eastAsia" w:ascii="仿宋" w:hAnsi="仿宋" w:eastAsia="仿宋" w:cs="仿宋"/>
          <w:b/>
          <w:i w:val="0"/>
          <w:iCs w:val="0"/>
          <w:color w:val="auto"/>
          <w:sz w:val="21"/>
          <w:szCs w:val="21"/>
          <w:highlight w:val="none"/>
        </w:rPr>
        <w:t>23.    磋商程序</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1" w:name="_Toc58504507"/>
      <w:r>
        <w:rPr>
          <w:rFonts w:hint="eastAsia" w:ascii="仿宋" w:hAnsi="仿宋" w:eastAsia="仿宋" w:cs="仿宋"/>
          <w:b/>
          <w:i w:val="0"/>
          <w:iCs w:val="0"/>
          <w:color w:val="auto"/>
          <w:sz w:val="21"/>
          <w:szCs w:val="21"/>
          <w:highlight w:val="none"/>
        </w:rPr>
        <w:t>23.1   磋商会议</w:t>
      </w:r>
      <w:bookmarkEnd w:id="311"/>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2" w:name="_Toc58504508"/>
      <w:r>
        <w:rPr>
          <w:rFonts w:hint="eastAsia" w:ascii="仿宋" w:hAnsi="仿宋" w:eastAsia="仿宋" w:cs="仿宋"/>
          <w:i w:val="0"/>
          <w:iCs w:val="0"/>
          <w:color w:val="auto"/>
          <w:sz w:val="21"/>
          <w:szCs w:val="21"/>
          <w:highlight w:val="none"/>
        </w:rPr>
        <w:t>（1）在磋商文件规定的时间和地点，由</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组织磋商工作，供应商须委派代表参加，签名以证明其出席。</w:t>
      </w:r>
      <w:bookmarkEnd w:id="312"/>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3" w:name="_Toc58504509"/>
      <w:r>
        <w:rPr>
          <w:rFonts w:hint="eastAsia" w:ascii="仿宋" w:hAnsi="仿宋" w:eastAsia="仿宋" w:cs="仿宋"/>
          <w:i w:val="0"/>
          <w:iCs w:val="0"/>
          <w:color w:val="auto"/>
          <w:sz w:val="21"/>
          <w:szCs w:val="21"/>
          <w:highlight w:val="none"/>
        </w:rPr>
        <w:t>（2）各供应商或其推荐的代表与采购监督人共同检查响应文件的密封情况，经检查无误后，签字确认。</w:t>
      </w:r>
      <w:bookmarkEnd w:id="313"/>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4" w:name="_Toc58504510"/>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工作人员按照顺序，将各供应商首次响应文件的份数等内容公布，无异议后，由供应商法定代表人（或授权代表人）和监督人签字确认。</w:t>
      </w:r>
      <w:bookmarkEnd w:id="314"/>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5" w:name="_Toc58504511"/>
      <w:r>
        <w:rPr>
          <w:rFonts w:hint="eastAsia" w:ascii="仿宋" w:hAnsi="仿宋" w:eastAsia="仿宋" w:cs="仿宋"/>
          <w:b/>
          <w:i w:val="0"/>
          <w:iCs w:val="0"/>
          <w:color w:val="auto"/>
          <w:sz w:val="21"/>
          <w:szCs w:val="21"/>
          <w:highlight w:val="none"/>
        </w:rPr>
        <w:t>23.2   响应文件</w:t>
      </w:r>
      <w:bookmarkEnd w:id="306"/>
      <w:bookmarkEnd w:id="307"/>
      <w:bookmarkEnd w:id="308"/>
      <w:bookmarkEnd w:id="309"/>
      <w:bookmarkEnd w:id="310"/>
      <w:r>
        <w:rPr>
          <w:rFonts w:hint="eastAsia" w:ascii="仿宋" w:hAnsi="仿宋" w:eastAsia="仿宋" w:cs="仿宋"/>
          <w:b/>
          <w:i w:val="0"/>
          <w:iCs w:val="0"/>
          <w:color w:val="auto"/>
          <w:sz w:val="21"/>
          <w:szCs w:val="21"/>
          <w:highlight w:val="none"/>
        </w:rPr>
        <w:t>评审</w:t>
      </w:r>
      <w:bookmarkEnd w:id="315"/>
    </w:p>
    <w:p>
      <w:pPr>
        <w:keepNext w:val="0"/>
        <w:keepLines w:val="0"/>
        <w:pageBreakBefore w:val="0"/>
        <w:tabs>
          <w:tab w:val="left" w:pos="360"/>
          <w:tab w:val="left" w:pos="588"/>
        </w:tabs>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bookmarkStart w:id="316" w:name="_Toc83547671"/>
      <w:r>
        <w:rPr>
          <w:rFonts w:hint="eastAsia" w:ascii="仿宋" w:hAnsi="仿宋" w:eastAsia="仿宋" w:cs="仿宋"/>
          <w:b/>
          <w:i w:val="0"/>
          <w:iCs w:val="0"/>
          <w:color w:val="auto"/>
          <w:sz w:val="21"/>
          <w:szCs w:val="21"/>
          <w:highlight w:val="none"/>
        </w:rPr>
        <w:t>23.2.1 响应文件的资格性审查</w:t>
      </w:r>
      <w:r>
        <w:rPr>
          <w:rFonts w:hint="eastAsia" w:ascii="仿宋" w:hAnsi="仿宋" w:eastAsia="仿宋" w:cs="仿宋"/>
          <w:i w:val="0"/>
          <w:iCs w:val="0"/>
          <w:color w:val="auto"/>
          <w:sz w:val="21"/>
          <w:szCs w:val="21"/>
          <w:highlight w:val="none"/>
        </w:rPr>
        <w:t>。依据《政府采购法》第二十三条和磋商文件的规定，</w:t>
      </w:r>
      <w:r>
        <w:rPr>
          <w:rFonts w:hint="eastAsia" w:ascii="仿宋" w:hAnsi="仿宋" w:eastAsia="仿宋" w:cs="仿宋"/>
          <w:b/>
          <w:i w:val="0"/>
          <w:iCs w:val="0"/>
          <w:color w:val="auto"/>
          <w:sz w:val="21"/>
          <w:szCs w:val="21"/>
          <w:highlight w:val="none"/>
        </w:rPr>
        <w:t>采购人</w:t>
      </w:r>
      <w:r>
        <w:rPr>
          <w:rFonts w:hint="eastAsia" w:ascii="仿宋" w:hAnsi="仿宋" w:eastAsia="仿宋" w:cs="仿宋"/>
          <w:i w:val="0"/>
          <w:iCs w:val="0"/>
          <w:color w:val="auto"/>
          <w:sz w:val="21"/>
          <w:szCs w:val="21"/>
          <w:highlight w:val="none"/>
        </w:rPr>
        <w:t>对响应文件中的资格证明文件、信用查询记录等进行审查，以确认供应商具备相应资格。资格性审查出现下列情况者（但不限于），按无效文件处理：</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（1）供应商不符合《中华人民共和国政府采购法》第二十二条的规定和特定资格条件要求的。</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（2）供应商没有经过正常渠道购买或免费领取磋商文件或供应商的名称与</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磋商文件单位的名称不符。</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（4）信用查询中列入失信被执行人、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sz w:val="21"/>
          <w:szCs w:val="21"/>
          <w:highlight w:val="none"/>
        </w:rPr>
        <w:t>、政府采购严重违法失信行为记录名单及其他不符合《中华人民共和国政府采购法》第二十二条规定条件的供应商。</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通过“信用中国”网站(www.creditchina.gov.cn)、中国政府采购网(www.ccgp.gov.cn) 等查询相关主体信用记录，并将查询网页打印、存档备查。</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（6）查询时间为磋商文件发售期至评审截止时间前，此段时间段外，网站信息发生的任何变更均不作为资格审查依据。</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供应商不良信用记录以</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查询结果为准。供应商自行提供的与网站信息不一致的其他证明材料亦不作为资格审查依据。</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4"/>
        <w:keepNext w:val="0"/>
        <w:keepLines w:val="0"/>
        <w:pageBreakBefore w:val="0"/>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23.2.2 磋商响应文件有效性、完整性和响应程度审查：磋商小组</w:t>
      </w:r>
      <w:r>
        <w:rPr>
          <w:rFonts w:hint="eastAsia" w:ascii="仿宋" w:hAnsi="仿宋" w:eastAsia="仿宋" w:cs="仿宋"/>
          <w:i w:val="0"/>
          <w:iCs w:val="0"/>
          <w:color w:val="auto"/>
          <w:sz w:val="21"/>
          <w:szCs w:val="21"/>
          <w:highlight w:val="none"/>
        </w:rPr>
        <w:t>负责对通过资格审查的响应文件的有效性、完整性和响应性进行审查，以确定是否满足磋商文件要求，出现下列情况者（但不限于），按无效文件处理。</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（1）供应商未按磋商文件要求加盖单位公章</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（2）磋商响应文件未按磋商文件要求进行法定代表人或其授权代表签字</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（3）无有效期或有效期达不到磋商文件的要求。</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（4）供应商首次磋商报价出现选择性报价。</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（5）首次磋商报价超出采购预算</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（6）响应文件中对合同草案条款附加了采购人难以接受的条件</w:t>
      </w:r>
      <w:r>
        <w:rPr>
          <w:rFonts w:hint="eastAsia" w:ascii="仿宋" w:hAnsi="仿宋" w:eastAsia="仿宋" w:cs="仿宋"/>
          <w:i w:val="0"/>
          <w:iCs w:val="0"/>
          <w:color w:val="auto"/>
          <w:sz w:val="21"/>
          <w:szCs w:val="21"/>
          <w:highlight w:val="none"/>
          <w:lang w:eastAsia="zh-CN"/>
        </w:rPr>
        <w:t>。</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（7）磋商内容出现漏项或数量与要求不符，出现重大负偏差。</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（8）响应文件中技术指标达不到采购要求，降低了产品档次或影响产品性能、功能。</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（9）响应报价与市场价偏离较大，低于成本，形成不正当竞争。</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（10）供应商提供虚假证明，开具虚假资质，出现虚假应答或故意隐瞒行为。</w:t>
      </w:r>
    </w:p>
    <w:p>
      <w:pPr>
        <w:pStyle w:val="5"/>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7" w:name="_Toc58504512"/>
      <w:r>
        <w:rPr>
          <w:rFonts w:hint="eastAsia" w:ascii="仿宋" w:hAnsi="仿宋" w:eastAsia="仿宋" w:cs="仿宋"/>
          <w:b/>
          <w:i w:val="0"/>
          <w:iCs w:val="0"/>
          <w:color w:val="auto"/>
          <w:sz w:val="21"/>
          <w:szCs w:val="21"/>
          <w:highlight w:val="none"/>
        </w:rPr>
        <w:t>23.3   磋商</w:t>
      </w:r>
      <w:bookmarkEnd w:id="317"/>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318" w:name="_Toc58504513"/>
      <w:r>
        <w:rPr>
          <w:rFonts w:hint="eastAsia" w:ascii="仿宋" w:hAnsi="仿宋" w:eastAsia="仿宋" w:cs="仿宋"/>
          <w:i w:val="0"/>
          <w:iCs w:val="0"/>
          <w:color w:val="auto"/>
          <w:sz w:val="21"/>
          <w:szCs w:val="21"/>
          <w:highlight w:val="none"/>
        </w:rPr>
        <w:t>23.3.1 磋商小组集中与各供应商分别进行磋商，并给所有参加磋商供应商平等的磋商机会。</w:t>
      </w:r>
      <w:bookmarkEnd w:id="318"/>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23.3.2 磋商小组在对响应文件的有效性、完整性和响应程度进行审核时，以</w:t>
      </w:r>
      <w:r>
        <w:rPr>
          <w:rFonts w:hint="eastAsia" w:ascii="仿宋" w:hAnsi="仿宋" w:eastAsia="仿宋" w:cs="仿宋"/>
          <w:b/>
          <w:i w:val="0"/>
          <w:iCs w:val="0"/>
          <w:color w:val="auto"/>
          <w:sz w:val="21"/>
          <w:szCs w:val="21"/>
          <w:highlight w:val="none"/>
        </w:rPr>
        <w:t>书面形式</w:t>
      </w:r>
      <w:r>
        <w:rPr>
          <w:rFonts w:hint="eastAsia" w:ascii="仿宋" w:hAnsi="仿宋" w:eastAsia="仿宋" w:cs="仿宋"/>
          <w:i w:val="0"/>
          <w:iCs w:val="0"/>
          <w:color w:val="auto"/>
          <w:sz w:val="21"/>
          <w:szCs w:val="21"/>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23.3.3 磋商过程中，磋商小组可以根据磋商文件和磋商情况实质性变动采购需求中的技术、服务要求以及合同草案条款，但不得变动磋商文件中的其他内容。实质性变动的内容，</w:t>
      </w:r>
      <w:r>
        <w:rPr>
          <w:rFonts w:hint="eastAsia" w:ascii="仿宋" w:hAnsi="仿宋" w:eastAsia="仿宋" w:cs="仿宋"/>
          <w:i w:val="0"/>
          <w:iCs w:val="0"/>
          <w:color w:val="auto"/>
          <w:sz w:val="21"/>
          <w:szCs w:val="21"/>
          <w:highlight w:val="none"/>
          <w:lang w:val="en-US" w:eastAsia="zh-CN"/>
        </w:rPr>
        <w:t>需</w:t>
      </w:r>
      <w:r>
        <w:rPr>
          <w:rFonts w:hint="eastAsia" w:ascii="仿宋" w:hAnsi="仿宋" w:eastAsia="仿宋" w:cs="仿宋"/>
          <w:i w:val="0"/>
          <w:iCs w:val="0"/>
          <w:color w:val="auto"/>
          <w:sz w:val="21"/>
          <w:szCs w:val="21"/>
          <w:highlight w:val="none"/>
        </w:rPr>
        <w:t>经采购人代表确认，并成为磋商文件的有效组成部分。</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23.3.4 如出现下述情形之一的，视为供应商主动退出磋商，其响应将被拒绝：</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（1）供应商未按要求确认磋商小组确定的本项目最终技术需求的；</w:t>
      </w:r>
    </w:p>
    <w:p>
      <w:pPr>
        <w:pStyle w:val="24"/>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（2）最后报价未实质性响应磋商小组确定的本项目最终技术需求的，或附有采购人无法接受的条件的。</w:t>
      </w:r>
    </w:p>
    <w:p>
      <w:pPr>
        <w:pStyle w:val="2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23.4   最后报价</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23.4.1 磋商结束后，磋商小组要求所有实质性响应的供应商在规定时间内提交最后报价，提交最后报价的供应商不少于3家。最后报价是供应商响应文件的有效组成部分。</w:t>
      </w:r>
    </w:p>
    <w:p>
      <w:pPr>
        <w:pStyle w:val="24"/>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19" w:name="_Toc164351640"/>
      <w:bookmarkStart w:id="320" w:name="_Toc150774751"/>
      <w:bookmarkStart w:id="321" w:name="_Toc151193934"/>
      <w:bookmarkStart w:id="322" w:name="_Toc150774646"/>
      <w:bookmarkStart w:id="323" w:name="_Toc151193644"/>
      <w:bookmarkStart w:id="324" w:name="_Toc151193788"/>
      <w:bookmarkStart w:id="325" w:name="_Toc149720839"/>
      <w:bookmarkStart w:id="326" w:name="_Ref467307010"/>
      <w:bookmarkStart w:id="327" w:name="_Toc142311048"/>
      <w:bookmarkStart w:id="328" w:name="_Toc520356170"/>
      <w:bookmarkStart w:id="329" w:name="_Toc164229241"/>
      <w:bookmarkStart w:id="330" w:name="_Toc150509297"/>
      <w:bookmarkStart w:id="331" w:name="_Toc249525191"/>
      <w:bookmarkStart w:id="332" w:name="_Toc150480784"/>
      <w:bookmarkStart w:id="333" w:name="_Toc151190173"/>
      <w:bookmarkStart w:id="334" w:name="_Toc164608815"/>
      <w:bookmarkStart w:id="335" w:name="_Toc13753"/>
      <w:bookmarkStart w:id="336" w:name="_Toc127161460"/>
      <w:bookmarkStart w:id="337" w:name="_Toc249515422"/>
      <w:bookmarkStart w:id="338" w:name="_Toc249515310"/>
      <w:bookmarkStart w:id="339" w:name="_Toc151193860"/>
      <w:bookmarkStart w:id="340" w:name="_Toc195842911"/>
      <w:bookmarkStart w:id="341" w:name="_Toc164229387"/>
      <w:bookmarkStart w:id="342" w:name="_Toc151193716"/>
      <w:bookmarkStart w:id="343" w:name="_Toc127151546"/>
      <w:bookmarkStart w:id="344" w:name="_Toc164608660"/>
      <w:bookmarkStart w:id="345" w:name="_Toc127151747"/>
      <w:r>
        <w:rPr>
          <w:rFonts w:hint="eastAsia" w:ascii="仿宋" w:hAnsi="仿宋" w:eastAsia="仿宋" w:cs="仿宋"/>
          <w:b/>
          <w:bCs/>
          <w:i w:val="0"/>
          <w:iCs w:val="0"/>
          <w:color w:val="auto"/>
          <w:sz w:val="21"/>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i w:val="0"/>
          <w:iCs w:val="0"/>
          <w:color w:val="auto"/>
          <w:sz w:val="21"/>
          <w:szCs w:val="21"/>
          <w:highlight w:val="none"/>
        </w:rPr>
        <w:t>落实政府采购政策，详见第三章。</w:t>
      </w:r>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346" w:name="_Hlt497729446"/>
      <w:bookmarkEnd w:id="346"/>
      <w:bookmarkStart w:id="347" w:name="_Hlt491765714"/>
      <w:bookmarkEnd w:id="347"/>
      <w:bookmarkStart w:id="348" w:name="_Toc256342149"/>
      <w:bookmarkStart w:id="349" w:name="_Toc14512"/>
      <w:bookmarkStart w:id="350" w:name="_Toc249525192"/>
      <w:bookmarkStart w:id="351" w:name="_Toc249515311"/>
      <w:bookmarkStart w:id="352" w:name="_Toc232395218"/>
      <w:bookmarkStart w:id="353" w:name="_Toc249515423"/>
      <w:bookmarkStart w:id="354" w:name="_Toc232176278"/>
      <w:bookmarkStart w:id="355" w:name="_Toc385992360"/>
      <w:bookmarkStart w:id="356" w:name="_Toc500747068"/>
      <w:bookmarkStart w:id="357" w:name="_Toc70687174"/>
      <w:bookmarkStart w:id="358" w:name="_Toc496324585"/>
      <w:bookmarkStart w:id="359" w:name="_Toc499711890"/>
      <w:bookmarkStart w:id="360" w:name="_Toc503063428"/>
      <w:bookmarkStart w:id="361" w:name="_Toc500746972"/>
      <w:bookmarkStart w:id="362" w:name="_Toc176882548"/>
      <w:bookmarkStart w:id="363" w:name="_Toc500747195"/>
      <w:bookmarkStart w:id="364" w:name="_Toc177995479"/>
      <w:bookmarkStart w:id="365" w:name="_Toc492955421"/>
      <w:bookmarkStart w:id="366" w:name="_Toc389620199"/>
      <w:bookmarkStart w:id="367" w:name="_Toc53722846"/>
      <w:bookmarkStart w:id="368" w:name="_Toc177817340"/>
      <w:bookmarkStart w:id="369" w:name="_Toc499711049"/>
      <w:bookmarkStart w:id="370" w:name="_Toc177189241"/>
      <w:bookmarkStart w:id="371" w:name="_Toc184043047"/>
      <w:r>
        <w:rPr>
          <w:rFonts w:hint="eastAsia" w:ascii="仿宋" w:hAnsi="仿宋" w:eastAsia="仿宋" w:cs="仿宋"/>
          <w:i w:val="0"/>
          <w:iCs w:val="0"/>
          <w:color w:val="auto"/>
          <w:sz w:val="21"/>
          <w:szCs w:val="21"/>
          <w:highlight w:val="none"/>
        </w:rPr>
        <w:t>六、确定成交单位、授予合同</w:t>
      </w:r>
      <w:bookmarkEnd w:id="348"/>
      <w:bookmarkEnd w:id="349"/>
      <w:bookmarkEnd w:id="350"/>
      <w:bookmarkEnd w:id="351"/>
      <w:bookmarkEnd w:id="352"/>
      <w:bookmarkEnd w:id="353"/>
      <w:bookmarkEnd w:id="354"/>
    </w:p>
    <w:p>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keepNext w:val="0"/>
        <w:keepLines w:val="0"/>
        <w:pageBreakBefore w:val="0"/>
        <w:numPr>
          <w:ilvl w:val="0"/>
          <w:numId w:val="9"/>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72" w:name="_Toc385992361"/>
      <w:bookmarkStart w:id="373" w:name="_Toc249515312"/>
      <w:bookmarkStart w:id="374" w:name="_Toc70687175"/>
      <w:bookmarkStart w:id="375" w:name="_Toc249515424"/>
      <w:bookmarkStart w:id="376" w:name="_Toc184043048"/>
      <w:bookmarkStart w:id="377" w:name="_Toc249525193"/>
      <w:bookmarkStart w:id="378" w:name="_Toc389620200"/>
      <w:bookmarkStart w:id="379" w:name="_Toc27151"/>
      <w:r>
        <w:rPr>
          <w:rFonts w:hint="eastAsia" w:ascii="仿宋" w:hAnsi="仿宋" w:eastAsia="仿宋" w:cs="仿宋"/>
          <w:b/>
          <w:bCs/>
          <w:i w:val="0"/>
          <w:iCs w:val="0"/>
          <w:color w:val="auto"/>
          <w:sz w:val="21"/>
          <w:szCs w:val="21"/>
          <w:highlight w:val="none"/>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i w:val="0"/>
          <w:iCs w:val="0"/>
          <w:color w:val="auto"/>
          <w:sz w:val="21"/>
          <w:szCs w:val="21"/>
          <w:highlight w:val="none"/>
        </w:rPr>
        <w:t>单位</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 xml:space="preserve">   采购人在收到评审报告后五个工作日内，根据评审报告对评审过程及结果进行严格审核后确定成交供应商。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25.3   </w:t>
      </w:r>
      <w:r>
        <w:rPr>
          <w:rFonts w:hint="eastAsia" w:ascii="仿宋" w:hAnsi="仿宋" w:eastAsia="仿宋" w:cs="仿宋"/>
          <w:i w:val="0"/>
          <w:iCs w:val="0"/>
          <w:color w:val="auto"/>
          <w:sz w:val="21"/>
          <w:szCs w:val="21"/>
          <w:highlight w:val="none"/>
          <w:lang w:eastAsia="zh-CN"/>
        </w:rPr>
        <w:t>采购人在</w:t>
      </w:r>
      <w:r>
        <w:rPr>
          <w:rFonts w:hint="eastAsia" w:ascii="仿宋" w:hAnsi="仿宋" w:eastAsia="仿宋" w:cs="仿宋"/>
          <w:i w:val="0"/>
          <w:iCs w:val="0"/>
          <w:color w:val="auto"/>
          <w:sz w:val="21"/>
          <w:szCs w:val="21"/>
          <w:highlight w:val="none"/>
          <w:lang w:val="en-US" w:eastAsia="zh-CN"/>
        </w:rPr>
        <w:t>两个工作日内</w:t>
      </w:r>
      <w:r>
        <w:rPr>
          <w:rFonts w:hint="eastAsia" w:ascii="仿宋" w:hAnsi="仿宋" w:eastAsia="仿宋" w:cs="仿宋"/>
          <w:i w:val="0"/>
          <w:iCs w:val="0"/>
          <w:color w:val="auto"/>
          <w:sz w:val="21"/>
          <w:szCs w:val="21"/>
          <w:highlight w:val="none"/>
        </w:rPr>
        <w:t>在</w:t>
      </w:r>
      <w:r>
        <w:rPr>
          <w:rFonts w:hint="eastAsia" w:ascii="仿宋" w:hAnsi="仿宋" w:eastAsia="仿宋" w:cs="仿宋"/>
          <w:i w:val="0"/>
          <w:iCs w:val="0"/>
          <w:color w:val="auto"/>
          <w:sz w:val="21"/>
          <w:szCs w:val="21"/>
          <w:highlight w:val="none"/>
          <w:lang w:val="en-US" w:eastAsia="zh-CN"/>
        </w:rPr>
        <w:t>网站</w:t>
      </w:r>
      <w:r>
        <w:rPr>
          <w:rFonts w:hint="eastAsia" w:ascii="仿宋" w:hAnsi="仿宋" w:eastAsia="仿宋" w:cs="仿宋"/>
          <w:i w:val="0"/>
          <w:iCs w:val="0"/>
          <w:color w:val="auto"/>
          <w:sz w:val="21"/>
          <w:szCs w:val="21"/>
          <w:highlight w:val="none"/>
          <w:lang w:eastAsia="zh-CN"/>
        </w:rPr>
        <w:t>上发布结果</w:t>
      </w:r>
      <w:r>
        <w:rPr>
          <w:rFonts w:hint="eastAsia" w:ascii="仿宋" w:hAnsi="仿宋" w:eastAsia="仿宋" w:cs="仿宋"/>
          <w:i w:val="0"/>
          <w:iCs w:val="0"/>
          <w:color w:val="auto"/>
          <w:sz w:val="21"/>
          <w:szCs w:val="21"/>
          <w:highlight w:val="none"/>
        </w:rPr>
        <w:t>公告</w:t>
      </w:r>
      <w:r>
        <w:rPr>
          <w:rFonts w:hint="eastAsia" w:ascii="仿宋" w:hAnsi="仿宋" w:eastAsia="仿宋" w:cs="仿宋"/>
          <w:i w:val="0"/>
          <w:iCs w:val="0"/>
          <w:color w:val="auto"/>
          <w:sz w:val="21"/>
          <w:szCs w:val="21"/>
          <w:highlight w:val="none"/>
          <w:lang w:eastAsia="zh-CN"/>
        </w:rPr>
        <w:t>（或告知各供应商采购结果）</w:t>
      </w:r>
      <w:r>
        <w:rPr>
          <w:rFonts w:hint="eastAsia" w:ascii="仿宋" w:hAnsi="仿宋" w:eastAsia="仿宋" w:cs="仿宋"/>
          <w:i w:val="0"/>
          <w:iCs w:val="0"/>
          <w:color w:val="auto"/>
          <w:sz w:val="21"/>
          <w:szCs w:val="21"/>
          <w:highlight w:val="none"/>
        </w:rPr>
        <w:t>，公告期限为一个工作日，并向成交供应商发出成交通知书。成交通知书是合同文件的组成部分。</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25.4   采购</w:t>
      </w:r>
      <w:r>
        <w:rPr>
          <w:rFonts w:hint="eastAsia" w:ascii="仿宋" w:hAnsi="仿宋" w:eastAsia="仿宋" w:cs="仿宋"/>
          <w:i w:val="0"/>
          <w:iCs w:val="0"/>
          <w:color w:val="auto"/>
          <w:sz w:val="21"/>
          <w:szCs w:val="21"/>
          <w:highlight w:val="none"/>
          <w:lang w:eastAsia="zh-CN"/>
        </w:rPr>
        <w:t>人</w:t>
      </w:r>
      <w:r>
        <w:rPr>
          <w:rFonts w:hint="eastAsia" w:ascii="仿宋" w:hAnsi="仿宋" w:eastAsia="仿宋" w:cs="仿宋"/>
          <w:i w:val="0"/>
          <w:iCs w:val="0"/>
          <w:color w:val="auto"/>
          <w:sz w:val="21"/>
          <w:szCs w:val="21"/>
          <w:highlight w:val="none"/>
        </w:rPr>
        <w:t>将评审过程及成交供应商情况书面报监督机构备案。</w:t>
      </w:r>
      <w:bookmarkStart w:id="380" w:name="_Toc389620203"/>
      <w:bookmarkStart w:id="381" w:name="_Toc385992364"/>
    </w:p>
    <w:bookmarkEnd w:id="380"/>
    <w:bookmarkEnd w:id="381"/>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2" w:name="_Toc385992365"/>
      <w:bookmarkStart w:id="383" w:name="_Toc389620204"/>
      <w:r>
        <w:rPr>
          <w:rFonts w:hint="eastAsia" w:ascii="仿宋" w:hAnsi="仿宋" w:eastAsia="仿宋" w:cs="仿宋"/>
          <w:b/>
          <w:bCs/>
          <w:i w:val="0"/>
          <w:iCs w:val="0"/>
          <w:color w:val="auto"/>
          <w:sz w:val="21"/>
          <w:szCs w:val="21"/>
          <w:highlight w:val="none"/>
        </w:rPr>
        <w:t>26.    合同</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26.1   自成交通知书发出后三十日内，按照磋商文件和成交供应商响应文件的约定，采购人与成交供应商洽谈合同条款，并签订合同。磋商文件及成交供应商的响应文件均作为合同的组成部分。</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27.    询问与质疑 </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27.1   供应商对政府采购活动事项有疑问的，可以向采购人提出询问。</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27.2   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27.3   质疑供应商在法定质疑期内须一次性提出针对同一采购程序环节的质疑。</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27.4   供应商提出质疑应当提交质疑函和必要的证明材料。质疑函应当包括下列内容：</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供应商的姓名或者名称、地址、邮编、联系人及联系电话；</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质疑项目的名称、编号；</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具体、明确的质疑事项和与质疑事项相关的请求；</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事实依据；</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必要的法律依据；</w:t>
      </w:r>
    </w:p>
    <w:p>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提出质疑的日期。</w:t>
      </w:r>
    </w:p>
    <w:p>
      <w:pPr>
        <w:pStyle w:val="72"/>
        <w:keepNext w:val="0"/>
        <w:keepLines w:val="0"/>
        <w:pageBreakBefore w:val="0"/>
        <w:tabs>
          <w:tab w:val="left" w:pos="588"/>
        </w:tabs>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供应商为自然人的，应当由本人签字；供应商为法人或者其他组织的，应当由法定代表人或负责人签字或盖章，同时其授权代表签字，并加盖公章。</w:t>
      </w:r>
    </w:p>
    <w:p>
      <w:pPr>
        <w:keepNext w:val="0"/>
        <w:keepLines w:val="0"/>
        <w:pageBreakBefore w:val="0"/>
        <w:tabs>
          <w:tab w:val="left" w:pos="588"/>
        </w:tabs>
        <w:kinsoku/>
        <w:wordWrap/>
        <w:overflowPunct/>
        <w:topLinePunct w:val="0"/>
        <w:bidi w:val="0"/>
        <w:spacing w:line="420" w:lineRule="exact"/>
        <w:ind w:left="960" w:hanging="840" w:hanging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27.5   符合要求的质疑，</w:t>
      </w:r>
      <w:r>
        <w:rPr>
          <w:rFonts w:hint="eastAsia" w:ascii="仿宋" w:hAnsi="仿宋" w:eastAsia="仿宋" w:cs="仿宋"/>
          <w:i w:val="0"/>
          <w:iCs w:val="0"/>
          <w:color w:val="auto"/>
          <w:sz w:val="21"/>
          <w:szCs w:val="21"/>
          <w:highlight w:val="none"/>
          <w:lang w:val="en-US" w:eastAsia="zh-CN"/>
        </w:rPr>
        <w:t>采购</w:t>
      </w:r>
      <w:r>
        <w:rPr>
          <w:rFonts w:hint="eastAsia" w:ascii="仿宋" w:hAnsi="仿宋" w:eastAsia="仿宋" w:cs="仿宋"/>
          <w:i w:val="0"/>
          <w:iCs w:val="0"/>
          <w:color w:val="auto"/>
          <w:sz w:val="21"/>
          <w:szCs w:val="21"/>
          <w:highlight w:val="none"/>
          <w:lang w:eastAsia="zh-CN"/>
        </w:rPr>
        <w:t>人</w:t>
      </w:r>
      <w:r>
        <w:rPr>
          <w:rFonts w:hint="eastAsia" w:ascii="仿宋" w:hAnsi="仿宋" w:eastAsia="仿宋" w:cs="仿宋"/>
          <w:i w:val="0"/>
          <w:iCs w:val="0"/>
          <w:color w:val="auto"/>
          <w:sz w:val="21"/>
          <w:szCs w:val="21"/>
          <w:highlight w:val="none"/>
        </w:rPr>
        <w:t>将予以受理并答复。</w:t>
      </w:r>
    </w:p>
    <w:p>
      <w:pPr>
        <w:keepNext w:val="0"/>
        <w:keepLines w:val="0"/>
        <w:pageBreakBefore w:val="0"/>
        <w:tabs>
          <w:tab w:val="left" w:pos="588"/>
        </w:tabs>
        <w:kinsoku/>
        <w:wordWrap/>
        <w:overflowPunct/>
        <w:topLinePunct w:val="0"/>
        <w:bidi w:val="0"/>
        <w:spacing w:line="420" w:lineRule="exact"/>
        <w:ind w:left="840" w:leftChars="400"/>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val="en-US" w:eastAsia="zh-CN"/>
        </w:rPr>
        <w:t>陈老师、贺老师</w:t>
      </w:r>
      <w:r>
        <w:rPr>
          <w:rFonts w:hint="eastAsia" w:ascii="仿宋" w:hAnsi="仿宋" w:eastAsia="仿宋" w:cs="仿宋"/>
          <w:i w:val="0"/>
          <w:iCs w:val="0"/>
          <w:color w:val="auto"/>
          <w:sz w:val="21"/>
          <w:szCs w:val="21"/>
          <w:highlight w:val="none"/>
        </w:rPr>
        <w:t>，联系电话：029-</w:t>
      </w:r>
      <w:r>
        <w:rPr>
          <w:rFonts w:hint="eastAsia" w:ascii="仿宋" w:hAnsi="仿宋" w:eastAsia="仿宋" w:cs="仿宋"/>
          <w:i w:val="0"/>
          <w:iCs w:val="0"/>
          <w:color w:val="auto"/>
          <w:sz w:val="21"/>
          <w:szCs w:val="21"/>
          <w:highlight w:val="none"/>
          <w:lang w:val="en-US" w:eastAsia="zh-CN"/>
        </w:rPr>
        <w:t>33358071</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27.6   供应商进行虚假和恶意质疑的，</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将提供相关资料报监督机构，按其情况进行相应处理。</w:t>
      </w:r>
    </w:p>
    <w:bookmarkEnd w:id="382"/>
    <w:bookmarkEnd w:id="383"/>
    <w:p>
      <w:pPr>
        <w:pStyle w:val="5"/>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4" w:name="_Toc25547"/>
      <w:r>
        <w:rPr>
          <w:rFonts w:hint="eastAsia" w:ascii="仿宋" w:hAnsi="仿宋" w:eastAsia="仿宋" w:cs="仿宋"/>
          <w:b/>
          <w:bCs/>
          <w:i w:val="0"/>
          <w:iCs w:val="0"/>
          <w:color w:val="auto"/>
          <w:sz w:val="21"/>
          <w:szCs w:val="21"/>
          <w:highlight w:val="none"/>
        </w:rPr>
        <w:t>28.    履约保证金</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   履约保证金金额见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28.2   履约保证金缴纳时间：合同签订前必须交纳至（采购人）。</w:t>
      </w:r>
    </w:p>
    <w:p>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28.3   履约保证金缴纳形式：成交供应商应当以支票、汇票、本票、保函（格式见附件2）等非现金形式缴纳。</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28.4   履约保证金收取单位名称：</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开户银行：</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账号：</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rPr>
        <w:t xml:space="preserve">               联系电话：</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28.5   履约保证金退还的方式、时间、条件：</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28.6   履约保证金不予退还的情况：</w:t>
      </w:r>
      <w:r>
        <w:rPr>
          <w:rFonts w:hint="eastAsia" w:ascii="仿宋" w:hAnsi="仿宋" w:eastAsia="仿宋" w:cs="仿宋"/>
          <w:i w:val="0"/>
          <w:iCs w:val="0"/>
          <w:color w:val="auto"/>
          <w:sz w:val="21"/>
          <w:szCs w:val="21"/>
          <w:highlight w:val="none"/>
          <w:lang w:val="en-US" w:eastAsia="zh-CN"/>
        </w:rPr>
        <w:t>/</w:t>
      </w:r>
    </w:p>
    <w:p>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28.7   逾期退还履约保证金的违约责任：</w:t>
      </w:r>
      <w:r>
        <w:rPr>
          <w:rFonts w:hint="eastAsia" w:ascii="仿宋" w:hAnsi="仿宋" w:eastAsia="仿宋" w:cs="仿宋"/>
          <w:i w:val="0"/>
          <w:iCs w:val="0"/>
          <w:color w:val="auto"/>
          <w:sz w:val="21"/>
          <w:szCs w:val="21"/>
          <w:highlight w:val="none"/>
          <w:lang w:val="en-US" w:eastAsia="zh-CN"/>
        </w:rPr>
        <w:t>/</w:t>
      </w:r>
    </w:p>
    <w:bookmarkEnd w:id="384"/>
    <w:p>
      <w:pPr>
        <w:pStyle w:val="5"/>
        <w:keepNext w:val="0"/>
        <w:keepLines w:val="0"/>
        <w:pageBreakBefore w:val="0"/>
        <w:numPr>
          <w:ilvl w:val="0"/>
          <w:numId w:val="11"/>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5" w:name="_Toc385992366"/>
      <w:bookmarkStart w:id="386" w:name="_Toc389620205"/>
      <w:r>
        <w:rPr>
          <w:rFonts w:hint="eastAsia" w:ascii="仿宋" w:hAnsi="仿宋" w:eastAsia="仿宋" w:cs="仿宋"/>
          <w:b/>
          <w:bCs/>
          <w:i w:val="0"/>
          <w:iCs w:val="0"/>
          <w:color w:val="auto"/>
          <w:sz w:val="21"/>
          <w:szCs w:val="21"/>
          <w:highlight w:val="none"/>
        </w:rPr>
        <w:t xml:space="preserve">   其他情况</w:t>
      </w:r>
    </w:p>
    <w:p>
      <w:pPr>
        <w:pStyle w:val="24"/>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 xml:space="preserve">0.1   </w:t>
      </w:r>
      <w:r>
        <w:rPr>
          <w:rFonts w:hint="eastAsia" w:ascii="仿宋" w:hAnsi="仿宋" w:eastAsia="仿宋" w:cs="仿宋"/>
          <w:i w:val="0"/>
          <w:iCs w:val="0"/>
          <w:color w:val="auto"/>
          <w:sz w:val="21"/>
          <w:szCs w:val="21"/>
          <w:highlight w:val="none"/>
        </w:rPr>
        <w:t>磋商截止时间结束后，递交响应文件或者经评审的实质性响应磋商文件的供应商不足三家，</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应当终止竞争性磋商活动，发布项目终止公告并说明原因，重新开展采购活动。政府购买服务项目符合（财库〔2015〕124号）的情况除外。</w:t>
      </w:r>
    </w:p>
    <w:p>
      <w:pPr>
        <w:pStyle w:val="24"/>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0</w:t>
      </w:r>
      <w:r>
        <w:rPr>
          <w:rFonts w:hint="eastAsia" w:ascii="仿宋" w:hAnsi="仿宋" w:eastAsia="仿宋" w:cs="仿宋"/>
          <w:i w:val="0"/>
          <w:iCs w:val="0"/>
          <w:color w:val="auto"/>
          <w:sz w:val="21"/>
          <w:szCs w:val="21"/>
          <w:highlight w:val="none"/>
        </w:rPr>
        <w:t>.2   通过资格审查和符合性审查的合格供应商不足3家的，</w:t>
      </w:r>
      <w:r>
        <w:rPr>
          <w:rFonts w:hint="eastAsia" w:ascii="仿宋" w:hAnsi="仿宋" w:eastAsia="仿宋" w:cs="仿宋"/>
          <w:i w:val="0"/>
          <w:iCs w:val="0"/>
          <w:color w:val="auto"/>
          <w:sz w:val="21"/>
          <w:szCs w:val="21"/>
          <w:highlight w:val="none"/>
          <w:lang w:val="en-US" w:eastAsia="zh-CN"/>
        </w:rPr>
        <w:t>本次</w:t>
      </w:r>
      <w:r>
        <w:rPr>
          <w:rFonts w:hint="eastAsia" w:ascii="仿宋" w:hAnsi="仿宋" w:eastAsia="仿宋" w:cs="仿宋"/>
          <w:i w:val="0"/>
          <w:iCs w:val="0"/>
          <w:color w:val="auto"/>
          <w:sz w:val="21"/>
          <w:szCs w:val="21"/>
          <w:highlight w:val="none"/>
        </w:rPr>
        <w:t>不再进行评审和磋商。连续两次进行竞争性磋商活动，因符合磋商要求供应商不足3家，经请示</w:t>
      </w:r>
      <w:r>
        <w:rPr>
          <w:rFonts w:hint="eastAsia" w:ascii="仿宋" w:hAnsi="仿宋" w:eastAsia="仿宋" w:cs="仿宋"/>
          <w:i w:val="0"/>
          <w:iCs w:val="0"/>
          <w:color w:val="auto"/>
          <w:sz w:val="21"/>
          <w:szCs w:val="21"/>
          <w:highlight w:val="none"/>
          <w:lang w:val="en-US" w:eastAsia="zh-CN"/>
        </w:rPr>
        <w:t>院行政</w:t>
      </w:r>
      <w:r>
        <w:rPr>
          <w:rFonts w:hint="eastAsia" w:ascii="仿宋" w:hAnsi="仿宋" w:eastAsia="仿宋" w:cs="仿宋"/>
          <w:i w:val="0"/>
          <w:iCs w:val="0"/>
          <w:color w:val="auto"/>
          <w:sz w:val="21"/>
          <w:szCs w:val="21"/>
          <w:highlight w:val="none"/>
        </w:rPr>
        <w:t>同意后，可</w:t>
      </w:r>
      <w:r>
        <w:rPr>
          <w:rFonts w:hint="eastAsia" w:ascii="仿宋" w:hAnsi="仿宋" w:eastAsia="仿宋" w:cs="仿宋"/>
          <w:i w:val="0"/>
          <w:iCs w:val="0"/>
          <w:color w:val="auto"/>
          <w:sz w:val="21"/>
          <w:szCs w:val="21"/>
          <w:highlight w:val="none"/>
          <w:lang w:val="en-US" w:eastAsia="zh-CN"/>
        </w:rPr>
        <w:t>采用谈判议价方式进行采购</w:t>
      </w:r>
      <w:r>
        <w:rPr>
          <w:rFonts w:hint="eastAsia" w:ascii="仿宋" w:hAnsi="仿宋" w:eastAsia="仿宋" w:cs="仿宋"/>
          <w:i w:val="0"/>
          <w:iCs w:val="0"/>
          <w:color w:val="auto"/>
          <w:sz w:val="21"/>
          <w:szCs w:val="21"/>
          <w:highlight w:val="none"/>
        </w:rPr>
        <w:t>。</w:t>
      </w:r>
    </w:p>
    <w:p>
      <w:pPr>
        <w:pStyle w:val="24"/>
        <w:tabs>
          <w:tab w:val="left" w:pos="567"/>
        </w:tabs>
        <w:spacing w:line="360" w:lineRule="auto"/>
        <w:ind w:left="840" w:leftChars="400" w:firstLine="0" w:firstLineChars="0"/>
        <w:rPr>
          <w:color w:val="auto"/>
          <w:highlight w:val="none"/>
        </w:rPr>
      </w:pPr>
    </w:p>
    <w:p>
      <w:pPr>
        <w:pStyle w:val="24"/>
        <w:shd w:val="clear" w:color="auto"/>
        <w:ind w:left="840" w:hanging="840" w:hangingChars="350"/>
        <w:rPr>
          <w:rFonts w:hint="default" w:ascii="Times New Roman" w:hAnsi="Times New Roman" w:eastAsia="仿宋_GB2312" w:cs="Times New Roman"/>
          <w:i w:val="0"/>
          <w:iCs w:val="0"/>
          <w:color w:val="auto"/>
          <w:sz w:val="24"/>
          <w:highlight w:val="none"/>
        </w:rPr>
      </w:pPr>
    </w:p>
    <w:p>
      <w:pPr>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p>
      <w:pPr>
        <w:pStyle w:val="2"/>
        <w:rPr>
          <w:rFonts w:hint="default" w:ascii="Times New Roman" w:hAnsi="Times New Roman" w:eastAsia="仿宋_GB2312" w:cs="Times New Roman"/>
          <w:i w:val="0"/>
          <w:iCs w:val="0"/>
          <w:color w:val="auto"/>
          <w:sz w:val="24"/>
          <w:highlight w:val="none"/>
        </w:rPr>
      </w:pPr>
    </w:p>
    <w:bookmarkEnd w:id="385"/>
    <w:bookmarkEnd w:id="386"/>
    <w:p>
      <w:pPr>
        <w:pStyle w:val="46"/>
        <w:spacing w:line="360" w:lineRule="auto"/>
        <w:rPr>
          <w:rStyle w:val="208"/>
          <w:rFonts w:hint="default" w:ascii="Times New Roman" w:hAnsi="Times New Roman" w:eastAsia="宋体" w:cs="Times New Roman"/>
          <w:i w:val="0"/>
          <w:iCs w:val="0"/>
          <w:color w:val="auto"/>
          <w:sz w:val="36"/>
          <w:szCs w:val="36"/>
          <w:highlight w:val="none"/>
        </w:rPr>
      </w:pPr>
      <w:bookmarkStart w:id="387" w:name="_Toc2850"/>
      <w:bookmarkStart w:id="388" w:name="_Toc58504447"/>
      <w:bookmarkStart w:id="389" w:name="_Toc17469"/>
      <w:r>
        <w:rPr>
          <w:rStyle w:val="208"/>
          <w:rFonts w:hint="default" w:ascii="Times New Roman" w:hAnsi="Times New Roman" w:eastAsia="宋体" w:cs="Times New Roman"/>
          <w:i w:val="0"/>
          <w:iCs w:val="0"/>
          <w:color w:val="auto"/>
          <w:sz w:val="36"/>
          <w:szCs w:val="36"/>
          <w:highlight w:val="none"/>
        </w:rPr>
        <w:t xml:space="preserve">第三章  </w:t>
      </w:r>
      <w:r>
        <w:rPr>
          <w:rStyle w:val="208"/>
          <w:rFonts w:hint="default" w:ascii="Times New Roman" w:hAnsi="Times New Roman" w:eastAsia="宋体" w:cs="Times New Roman"/>
          <w:b/>
          <w:bCs/>
          <w:i w:val="0"/>
          <w:iCs w:val="0"/>
          <w:color w:val="auto"/>
          <w:sz w:val="36"/>
          <w:szCs w:val="36"/>
          <w:highlight w:val="none"/>
        </w:rPr>
        <w:t>评审办法和</w:t>
      </w:r>
      <w:r>
        <w:rPr>
          <w:rStyle w:val="208"/>
          <w:rFonts w:hint="default" w:ascii="Times New Roman" w:hAnsi="Times New Roman" w:eastAsia="宋体" w:cs="Times New Roman"/>
          <w:i w:val="0"/>
          <w:iCs w:val="0"/>
          <w:color w:val="auto"/>
          <w:sz w:val="36"/>
          <w:szCs w:val="36"/>
          <w:highlight w:val="none"/>
        </w:rPr>
        <w:t>标准</w:t>
      </w:r>
      <w:bookmarkEnd w:id="387"/>
    </w:p>
    <w:p>
      <w:pPr>
        <w:tabs>
          <w:tab w:val="left" w:pos="360"/>
          <w:tab w:val="left" w:pos="588"/>
        </w:tabs>
        <w:spacing w:line="360" w:lineRule="auto"/>
        <w:ind w:left="840"/>
        <w:rPr>
          <w:rFonts w:hint="default" w:ascii="Times New Roman" w:hAnsi="Times New Roman" w:eastAsia="仿宋_GB2312" w:cs="Times New Roman"/>
          <w:i w:val="0"/>
          <w:iCs w:val="0"/>
          <w:color w:val="auto"/>
          <w:sz w:val="24"/>
          <w:highlight w:val="none"/>
        </w:rPr>
      </w:pPr>
    </w:p>
    <w:p>
      <w:pPr>
        <w:pStyle w:val="82"/>
        <w:keepNext w:val="0"/>
        <w:keepLines w:val="0"/>
        <w:pageBreakBefore w:val="0"/>
        <w:kinsoku/>
        <w:wordWrap/>
        <w:overflowPunct/>
        <w:topLinePunct w:val="0"/>
        <w:autoSpaceDE/>
        <w:autoSpaceDN/>
        <w:bidi w:val="0"/>
        <w:adjustRightInd/>
        <w:snapToGrid/>
        <w:spacing w:before="24" w:after="24" w:line="430" w:lineRule="exact"/>
        <w:textAlignment w:val="auto"/>
        <w:rPr>
          <w:rFonts w:hint="eastAsia" w:ascii="仿宋" w:hAnsi="仿宋" w:eastAsia="仿宋" w:cs="仿宋"/>
          <w:i w:val="0"/>
          <w:iCs w:val="0"/>
          <w:color w:val="auto"/>
          <w:sz w:val="21"/>
          <w:szCs w:val="21"/>
          <w:highlight w:val="none"/>
        </w:rPr>
      </w:pPr>
      <w:bookmarkStart w:id="390" w:name="_Toc21019"/>
      <w:bookmarkStart w:id="391" w:name="_Toc7005040"/>
      <w:r>
        <w:rPr>
          <w:rFonts w:hint="eastAsia" w:ascii="仿宋" w:hAnsi="仿宋" w:eastAsia="仿宋" w:cs="仿宋"/>
          <w:i w:val="0"/>
          <w:iCs w:val="0"/>
          <w:color w:val="auto"/>
          <w:sz w:val="21"/>
          <w:szCs w:val="21"/>
          <w:highlight w:val="none"/>
        </w:rPr>
        <w:t>1.评审方法</w:t>
      </w:r>
      <w:bookmarkEnd w:id="390"/>
      <w:bookmarkEnd w:id="391"/>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82"/>
        <w:keepNext w:val="0"/>
        <w:keepLines w:val="0"/>
        <w:pageBreakBefore w:val="0"/>
        <w:kinsoku/>
        <w:wordWrap/>
        <w:overflowPunct/>
        <w:topLinePunct w:val="0"/>
        <w:autoSpaceDE/>
        <w:autoSpaceDN/>
        <w:bidi w:val="0"/>
        <w:adjustRightInd/>
        <w:snapToGrid/>
        <w:spacing w:before="24" w:after="24" w:line="430" w:lineRule="exact"/>
        <w:textAlignment w:val="auto"/>
        <w:rPr>
          <w:rFonts w:hint="eastAsia" w:ascii="仿宋" w:hAnsi="仿宋" w:eastAsia="仿宋" w:cs="仿宋"/>
          <w:i w:val="0"/>
          <w:iCs w:val="0"/>
          <w:color w:val="auto"/>
          <w:sz w:val="21"/>
          <w:szCs w:val="21"/>
          <w:highlight w:val="none"/>
        </w:rPr>
      </w:pPr>
      <w:bookmarkStart w:id="392" w:name="_Toc7005041"/>
      <w:bookmarkStart w:id="393" w:name="_Toc7221"/>
      <w:r>
        <w:rPr>
          <w:rFonts w:hint="eastAsia" w:ascii="仿宋" w:hAnsi="仿宋" w:eastAsia="仿宋" w:cs="仿宋"/>
          <w:i w:val="0"/>
          <w:iCs w:val="0"/>
          <w:color w:val="auto"/>
          <w:sz w:val="21"/>
          <w:szCs w:val="21"/>
          <w:highlight w:val="none"/>
        </w:rPr>
        <w:t>2.评审标准</w:t>
      </w:r>
      <w:bookmarkEnd w:id="392"/>
      <w:bookmarkEnd w:id="393"/>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 资格审查和符合性评审标准：见附表一和附表二。</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 分值构成：总分100分，其中</w:t>
      </w:r>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商务部分分值： </w:t>
      </w:r>
      <w:r>
        <w:rPr>
          <w:rFonts w:hint="eastAsia" w:ascii="仿宋" w:hAnsi="仿宋" w:eastAsia="仿宋" w:cs="仿宋"/>
          <w:i w:val="0"/>
          <w:iCs w:val="0"/>
          <w:color w:val="auto"/>
          <w:sz w:val="21"/>
          <w:szCs w:val="21"/>
          <w:highlight w:val="none"/>
          <w:lang w:val="en-US" w:eastAsia="zh-CN"/>
        </w:rPr>
        <w:t>25</w:t>
      </w:r>
      <w:r>
        <w:rPr>
          <w:rFonts w:hint="eastAsia" w:ascii="仿宋" w:hAnsi="仿宋" w:eastAsia="仿宋" w:cs="仿宋"/>
          <w:i w:val="0"/>
          <w:iCs w:val="0"/>
          <w:color w:val="auto"/>
          <w:sz w:val="21"/>
          <w:szCs w:val="21"/>
          <w:highlight w:val="none"/>
        </w:rPr>
        <w:t xml:space="preserve">分；  </w:t>
      </w:r>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技术部分分值： </w:t>
      </w:r>
      <w:r>
        <w:rPr>
          <w:rFonts w:hint="eastAsia" w:ascii="仿宋" w:hAnsi="仿宋" w:eastAsia="仿宋" w:cs="仿宋"/>
          <w:i w:val="0"/>
          <w:iCs w:val="0"/>
          <w:color w:val="auto"/>
          <w:sz w:val="21"/>
          <w:szCs w:val="21"/>
          <w:highlight w:val="none"/>
          <w:lang w:val="en-US" w:eastAsia="zh-CN"/>
        </w:rPr>
        <w:t>55</w:t>
      </w:r>
      <w:r>
        <w:rPr>
          <w:rFonts w:hint="eastAsia" w:ascii="仿宋" w:hAnsi="仿宋" w:eastAsia="仿宋" w:cs="仿宋"/>
          <w:i w:val="0"/>
          <w:iCs w:val="0"/>
          <w:color w:val="auto"/>
          <w:sz w:val="21"/>
          <w:szCs w:val="21"/>
          <w:highlight w:val="none"/>
        </w:rPr>
        <w:t xml:space="preserve">分；  </w:t>
      </w:r>
    </w:p>
    <w:p>
      <w:pPr>
        <w:pStyle w:val="24"/>
        <w:keepNext w:val="0"/>
        <w:keepLines w:val="0"/>
        <w:pageBreakBefore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报价部分分值： </w:t>
      </w:r>
      <w:r>
        <w:rPr>
          <w:rFonts w:hint="eastAsia" w:ascii="仿宋" w:hAnsi="仿宋" w:eastAsia="仿宋" w:cs="仿宋"/>
          <w:i w:val="0"/>
          <w:iCs w:val="0"/>
          <w:color w:val="auto"/>
          <w:sz w:val="21"/>
          <w:szCs w:val="21"/>
          <w:highlight w:val="none"/>
          <w:lang w:val="en-US" w:eastAsia="zh-CN"/>
        </w:rPr>
        <w:t>20</w:t>
      </w:r>
      <w:r>
        <w:rPr>
          <w:rFonts w:hint="eastAsia" w:ascii="仿宋" w:hAnsi="仿宋" w:eastAsia="仿宋" w:cs="仿宋"/>
          <w:i w:val="0"/>
          <w:iCs w:val="0"/>
          <w:color w:val="auto"/>
          <w:sz w:val="21"/>
          <w:szCs w:val="21"/>
          <w:highlight w:val="none"/>
        </w:rPr>
        <w:t>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bookmarkStart w:id="394" w:name="_Ref426362114"/>
      <w:r>
        <w:rPr>
          <w:rFonts w:hint="eastAsia" w:ascii="仿宋" w:hAnsi="仿宋" w:eastAsia="仿宋" w:cs="仿宋"/>
          <w:i w:val="0"/>
          <w:iCs w:val="0"/>
          <w:color w:val="auto"/>
          <w:sz w:val="21"/>
          <w:szCs w:val="21"/>
          <w:highlight w:val="none"/>
        </w:rPr>
        <w:t>2.3 商务和技术评审标准</w:t>
      </w:r>
      <w:bookmarkEnd w:id="394"/>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bookmarkStart w:id="395" w:name="_Ref426362140"/>
      <w:r>
        <w:rPr>
          <w:rFonts w:hint="eastAsia" w:ascii="仿宋" w:hAnsi="仿宋" w:eastAsia="仿宋" w:cs="仿宋"/>
          <w:i w:val="0"/>
          <w:iCs w:val="0"/>
          <w:color w:val="auto"/>
          <w:sz w:val="21"/>
          <w:szCs w:val="21"/>
          <w:highlight w:val="none"/>
        </w:rPr>
        <w:t>2.3.1</w:t>
      </w:r>
      <w:r>
        <w:rPr>
          <w:rFonts w:hint="eastAsia" w:ascii="仿宋" w:hAnsi="仿宋" w:eastAsia="仿宋" w:cs="仿宋"/>
          <w:i w:val="0"/>
          <w:iCs w:val="0"/>
          <w:color w:val="auto"/>
          <w:sz w:val="21"/>
          <w:szCs w:val="21"/>
          <w:highlight w:val="none"/>
          <w:lang w:val="en-US" w:eastAsia="zh-CN"/>
        </w:rPr>
        <w:t>商务</w:t>
      </w:r>
      <w:r>
        <w:rPr>
          <w:rFonts w:hint="eastAsia" w:ascii="仿宋" w:hAnsi="仿宋" w:eastAsia="仿宋" w:cs="仿宋"/>
          <w:i w:val="0"/>
          <w:iCs w:val="0"/>
          <w:color w:val="auto"/>
          <w:sz w:val="21"/>
          <w:szCs w:val="21"/>
          <w:highlight w:val="none"/>
        </w:rPr>
        <w:t>部分评分标准：见附表</w:t>
      </w:r>
      <w:bookmarkEnd w:id="395"/>
      <w:r>
        <w:rPr>
          <w:rFonts w:hint="eastAsia" w:ascii="仿宋" w:hAnsi="仿宋" w:eastAsia="仿宋" w:cs="仿宋"/>
          <w:i w:val="0"/>
          <w:iCs w:val="0"/>
          <w:color w:val="auto"/>
          <w:sz w:val="21"/>
          <w:szCs w:val="21"/>
          <w:highlight w:val="none"/>
        </w:rPr>
        <w:t>三</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lang w:val="en-US" w:eastAsia="zh-CN"/>
        </w:rPr>
      </w:pPr>
      <w:bookmarkStart w:id="396" w:name="_Ref426362158"/>
      <w:r>
        <w:rPr>
          <w:rFonts w:hint="eastAsia" w:ascii="仿宋" w:hAnsi="仿宋" w:eastAsia="仿宋" w:cs="仿宋"/>
          <w:i w:val="0"/>
          <w:iCs w:val="0"/>
          <w:color w:val="auto"/>
          <w:sz w:val="21"/>
          <w:szCs w:val="21"/>
          <w:highlight w:val="none"/>
        </w:rPr>
        <w:t>2.3.2技术部分评分标准：见附表</w:t>
      </w:r>
      <w:bookmarkEnd w:id="396"/>
      <w:r>
        <w:rPr>
          <w:rFonts w:hint="eastAsia" w:ascii="仿宋" w:hAnsi="仿宋" w:eastAsia="仿宋" w:cs="仿宋"/>
          <w:i w:val="0"/>
          <w:iCs w:val="0"/>
          <w:color w:val="auto"/>
          <w:sz w:val="21"/>
          <w:szCs w:val="21"/>
          <w:highlight w:val="none"/>
          <w:lang w:val="en-US" w:eastAsia="zh-CN"/>
        </w:rPr>
        <w:t>三</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lang w:eastAsia="zh-CN"/>
        </w:rPr>
      </w:pPr>
      <w:bookmarkStart w:id="397" w:name="_Ref426362176"/>
      <w:r>
        <w:rPr>
          <w:rFonts w:hint="eastAsia" w:ascii="仿宋" w:hAnsi="仿宋" w:eastAsia="仿宋" w:cs="仿宋"/>
          <w:i w:val="0"/>
          <w:iCs w:val="0"/>
          <w:color w:val="auto"/>
          <w:sz w:val="21"/>
          <w:szCs w:val="21"/>
          <w:highlight w:val="none"/>
        </w:rPr>
        <w:t>2.3.3报价评分标准：</w:t>
      </w:r>
      <w:bookmarkEnd w:id="397"/>
      <w:r>
        <w:rPr>
          <w:rFonts w:hint="eastAsia" w:ascii="仿宋" w:hAnsi="仿宋" w:eastAsia="仿宋" w:cs="仿宋"/>
          <w:i w:val="0"/>
          <w:iCs w:val="0"/>
          <w:color w:val="auto"/>
          <w:sz w:val="21"/>
          <w:szCs w:val="21"/>
          <w:highlight w:val="none"/>
        </w:rPr>
        <w:t>见附表</w:t>
      </w:r>
      <w:r>
        <w:rPr>
          <w:rFonts w:hint="eastAsia" w:ascii="仿宋" w:hAnsi="仿宋" w:eastAsia="仿宋" w:cs="仿宋"/>
          <w:i w:val="0"/>
          <w:iCs w:val="0"/>
          <w:color w:val="auto"/>
          <w:sz w:val="21"/>
          <w:szCs w:val="21"/>
          <w:highlight w:val="none"/>
          <w:lang w:eastAsia="zh-CN"/>
        </w:rPr>
        <w:t>三</w:t>
      </w:r>
    </w:p>
    <w:p>
      <w:pPr>
        <w:keepNext w:val="0"/>
        <w:keepLines w:val="0"/>
        <w:pageBreakBefore w:val="0"/>
        <w:tabs>
          <w:tab w:val="left" w:pos="588"/>
        </w:tabs>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满足磋商文件要求且最后报价最低的供应商的价格为磋商基准价，其价格分为满分。其他供应商的价格分统一按照下列公式计算：磋商报价得分=（磋商基准价/最后磋商报价）×价格权值</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 响应文件出现下列情况之一者，磋商小组在评审过程中按以下原则修正：</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（1）大写金额与小写金额不一致的，以大写金额为准；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（2）总价金额与按单价汇总金额不一致的，以单价金额计算结果为准；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（3）单价金额小数点有明显错位的，应以总价为准，并修改单价；</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（4）对不同文字文本响应文件的解释发生异议的，以中文文本为准；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（5）文字与图表不一致的，以文字为准；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（6）正本与副本不一致的，以正本为准；</w:t>
      </w:r>
    </w:p>
    <w:p>
      <w:pPr>
        <w:keepNext w:val="0"/>
        <w:keepLines w:val="0"/>
        <w:pageBreakBefore w:val="0"/>
        <w:tabs>
          <w:tab w:val="left" w:pos="588"/>
        </w:tabs>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（7）响应文件的文字叙述与制造厂商的产品样本/检测报告不符时，以产品样本/检测报告为准。</w:t>
      </w:r>
    </w:p>
    <w:p>
      <w:pPr>
        <w:pStyle w:val="82"/>
        <w:keepNext w:val="0"/>
        <w:keepLines w:val="0"/>
        <w:pageBreakBefore w:val="0"/>
        <w:kinsoku/>
        <w:wordWrap/>
        <w:overflowPunct/>
        <w:topLinePunct w:val="0"/>
        <w:autoSpaceDE/>
        <w:autoSpaceDN/>
        <w:bidi w:val="0"/>
        <w:adjustRightInd/>
        <w:snapToGrid/>
        <w:spacing w:before="24" w:after="24" w:line="430" w:lineRule="exact"/>
        <w:textAlignment w:val="auto"/>
        <w:rPr>
          <w:rFonts w:hint="eastAsia" w:ascii="仿宋" w:hAnsi="仿宋" w:eastAsia="仿宋" w:cs="仿宋"/>
          <w:i w:val="0"/>
          <w:iCs w:val="0"/>
          <w:color w:val="auto"/>
          <w:sz w:val="21"/>
          <w:szCs w:val="21"/>
          <w:highlight w:val="none"/>
        </w:rPr>
      </w:pPr>
      <w:bookmarkStart w:id="398" w:name="_Toc4867"/>
      <w:bookmarkStart w:id="399" w:name="_Toc7005042"/>
      <w:r>
        <w:rPr>
          <w:rFonts w:hint="eastAsia" w:ascii="仿宋" w:hAnsi="仿宋" w:eastAsia="仿宋" w:cs="仿宋"/>
          <w:i w:val="0"/>
          <w:iCs w:val="0"/>
          <w:color w:val="auto"/>
          <w:sz w:val="21"/>
          <w:szCs w:val="21"/>
          <w:highlight w:val="none"/>
        </w:rPr>
        <w:t>3.评审程序</w:t>
      </w:r>
      <w:bookmarkEnd w:id="398"/>
      <w:bookmarkEnd w:id="399"/>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bookmarkStart w:id="400" w:name="_Toc7005043"/>
      <w:r>
        <w:rPr>
          <w:rFonts w:hint="eastAsia" w:ascii="仿宋" w:hAnsi="仿宋" w:eastAsia="仿宋" w:cs="仿宋"/>
          <w:b/>
          <w:i w:val="0"/>
          <w:iCs w:val="0"/>
          <w:color w:val="auto"/>
          <w:sz w:val="21"/>
          <w:szCs w:val="21"/>
          <w:highlight w:val="none"/>
        </w:rPr>
        <w:t>3.1资格审查及符合性审查</w:t>
      </w:r>
      <w:bookmarkEnd w:id="400"/>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3.1.1 </w:t>
      </w:r>
      <w:r>
        <w:rPr>
          <w:rFonts w:hint="eastAsia" w:ascii="仿宋" w:hAnsi="仿宋" w:eastAsia="仿宋" w:cs="仿宋"/>
          <w:i w:val="0"/>
          <w:iCs w:val="0"/>
          <w:color w:val="auto"/>
          <w:sz w:val="21"/>
          <w:szCs w:val="21"/>
          <w:highlight w:val="none"/>
          <w:lang w:eastAsia="zh-CN"/>
        </w:rPr>
        <w:t>采购人</w:t>
      </w:r>
      <w:r>
        <w:rPr>
          <w:rFonts w:hint="eastAsia" w:ascii="仿宋" w:hAnsi="仿宋" w:eastAsia="仿宋" w:cs="仿宋"/>
          <w:i w:val="0"/>
          <w:iCs w:val="0"/>
          <w:color w:val="auto"/>
          <w:sz w:val="21"/>
          <w:szCs w:val="21"/>
          <w:highlight w:val="none"/>
        </w:rPr>
        <w:t>按附表一所列审查标准对供应商资格进行审查，以确定供应商是否具备磋商资格。</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3.1.2 磋商小组对符合资格要求的响应文件按附表二进行符合性审查，以确定其是否满足磋商文件的实质性要求（见本章内的符合性审查表）。</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磋商小组不接受供应商主动提出的澄清、说明或补正。</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供应商的书面澄清、说明和补正属于响应文件的组成部分。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磋商小组对供应商提交的澄清、说明或补正有疑问的，可以要求供应商进一步澄清、说明或补正，直至满足评审小组的要求。</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3.1.4 不具备磋商文件要求的资格或未通过符合性审查的供应商，不参与磋商，由磋商小组告知该供应商。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3.1.5 通过资格审查和符合性审查的合格供应商不足3家的，</w:t>
      </w:r>
      <w:r>
        <w:rPr>
          <w:rFonts w:hint="eastAsia" w:ascii="仿宋" w:hAnsi="仿宋" w:eastAsia="仿宋" w:cs="仿宋"/>
          <w:i w:val="0"/>
          <w:iCs w:val="0"/>
          <w:color w:val="auto"/>
          <w:sz w:val="21"/>
          <w:szCs w:val="21"/>
          <w:highlight w:val="none"/>
          <w:lang w:val="en-US" w:eastAsia="zh-CN"/>
        </w:rPr>
        <w:t>本次</w:t>
      </w:r>
      <w:r>
        <w:rPr>
          <w:rFonts w:hint="eastAsia" w:ascii="仿宋" w:hAnsi="仿宋" w:eastAsia="仿宋" w:cs="仿宋"/>
          <w:i w:val="0"/>
          <w:iCs w:val="0"/>
          <w:color w:val="auto"/>
          <w:sz w:val="21"/>
          <w:szCs w:val="21"/>
          <w:highlight w:val="none"/>
        </w:rPr>
        <w:t>不再进行评审和磋商。连续两次进行竞争性磋商活动，因符合磋商要求供应商不足3家，经请示</w:t>
      </w:r>
      <w:r>
        <w:rPr>
          <w:rFonts w:hint="eastAsia" w:ascii="仿宋" w:hAnsi="仿宋" w:eastAsia="仿宋" w:cs="仿宋"/>
          <w:i w:val="0"/>
          <w:iCs w:val="0"/>
          <w:color w:val="auto"/>
          <w:sz w:val="21"/>
          <w:szCs w:val="21"/>
          <w:highlight w:val="none"/>
          <w:lang w:val="en-US" w:eastAsia="zh-CN"/>
        </w:rPr>
        <w:t>院行政</w:t>
      </w:r>
      <w:r>
        <w:rPr>
          <w:rFonts w:hint="eastAsia" w:ascii="仿宋" w:hAnsi="仿宋" w:eastAsia="仿宋" w:cs="仿宋"/>
          <w:i w:val="0"/>
          <w:iCs w:val="0"/>
          <w:color w:val="auto"/>
          <w:sz w:val="21"/>
          <w:szCs w:val="21"/>
          <w:highlight w:val="none"/>
        </w:rPr>
        <w:t>同意后，可</w:t>
      </w:r>
      <w:r>
        <w:rPr>
          <w:rFonts w:hint="eastAsia" w:ascii="仿宋" w:hAnsi="仿宋" w:eastAsia="仿宋" w:cs="仿宋"/>
          <w:i w:val="0"/>
          <w:iCs w:val="0"/>
          <w:color w:val="auto"/>
          <w:sz w:val="21"/>
          <w:szCs w:val="21"/>
          <w:highlight w:val="none"/>
          <w:lang w:val="en-US" w:eastAsia="zh-CN"/>
        </w:rPr>
        <w:t>采用谈判议价方式进行采购</w:t>
      </w:r>
      <w:r>
        <w:rPr>
          <w:rFonts w:hint="eastAsia" w:ascii="仿宋" w:hAnsi="仿宋" w:eastAsia="仿宋" w:cs="仿宋"/>
          <w:i w:val="0"/>
          <w:iCs w:val="0"/>
          <w:color w:val="auto"/>
          <w:sz w:val="21"/>
          <w:szCs w:val="21"/>
          <w:highlight w:val="none"/>
        </w:rPr>
        <w:t>。</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bookmarkStart w:id="401" w:name="_Toc7005044"/>
      <w:r>
        <w:rPr>
          <w:rFonts w:hint="eastAsia" w:ascii="仿宋" w:hAnsi="仿宋" w:eastAsia="仿宋" w:cs="仿宋"/>
          <w:b/>
          <w:i w:val="0"/>
          <w:iCs w:val="0"/>
          <w:color w:val="auto"/>
          <w:sz w:val="21"/>
          <w:szCs w:val="21"/>
          <w:highlight w:val="none"/>
        </w:rPr>
        <w:t>3.2 磋商</w:t>
      </w:r>
      <w:bookmarkEnd w:id="401"/>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3.2.1按“供应商须知”第五条规定，由磋商小组与供应商进行磋商。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3.2.3 磋商结束后，磋商小组可以要求所有继续参加磋商的供应商在规定时间内提交最后报价函，提交最后报价函的供应商不得少于3家。</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bookmarkStart w:id="402" w:name="_Toc7005045"/>
      <w:r>
        <w:rPr>
          <w:rFonts w:hint="eastAsia" w:ascii="仿宋" w:hAnsi="仿宋" w:eastAsia="仿宋" w:cs="仿宋"/>
          <w:b/>
          <w:i w:val="0"/>
          <w:iCs w:val="0"/>
          <w:color w:val="auto"/>
          <w:sz w:val="21"/>
          <w:szCs w:val="21"/>
          <w:highlight w:val="none"/>
        </w:rPr>
        <w:t>3.3评审</w:t>
      </w:r>
      <w:bookmarkEnd w:id="402"/>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3.3.1 比较与评价</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磋商小组按本章第2.3款</w:t>
      </w:r>
      <w:r>
        <w:rPr>
          <w:rFonts w:hint="eastAsia" w:ascii="仿宋" w:hAnsi="仿宋" w:eastAsia="仿宋" w:cs="仿宋"/>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rPr>
        <w:t>商务和技术评审标准]对供应商提交的响应文件（包括最后报价函）进行商务和技术评估，综合比较与评价。</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3.3.2 磋商小组按本章第2.3款规定的量化因素和分值进行打分，并计算出综合评估得分。</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（1）按本章第2.3.1项规定的评审因素和分值对商务部分计算出得分A；</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（2）按本章第2.3.2项规定的评审因素和分值对技术部分计算出得分B；</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（3）按本章第2.3.3项规定的评审因素和分值对报价部分计算出得分C。</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3.3.3评分分值计算保留小数点后两位，小数点后第三位“四舍五入”。</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3.3.4供应商得分=A＋B＋C</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3.4 评审结果</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3.4.1 除第二章“供应商须知”前附表授权直接确定成交供应商外，磋商小组按照得分由高到低的顺序推荐3名成交候选人。</w:t>
      </w:r>
    </w:p>
    <w:p>
      <w:pPr>
        <w:pStyle w:val="24"/>
        <w:keepNext w:val="0"/>
        <w:keepLines w:val="0"/>
        <w:pageBreakBefore w:val="0"/>
        <w:kinsoku/>
        <w:wordWrap/>
        <w:overflowPunct/>
        <w:topLinePunct w:val="0"/>
        <w:autoSpaceDE/>
        <w:autoSpaceDN/>
        <w:bidi w:val="0"/>
        <w:adjustRightInd/>
        <w:snapToGrid/>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3.4.2 磋商小组完成评审后，应当向采购人提交书面评审报告。</w:t>
      </w:r>
    </w:p>
    <w:p>
      <w:pPr>
        <w:pStyle w:val="24"/>
        <w:keepNext w:val="0"/>
        <w:keepLines w:val="0"/>
        <w:pageBreakBefore w:val="0"/>
        <w:kinsoku/>
        <w:wordWrap/>
        <w:overflowPunct/>
        <w:topLinePunct w:val="0"/>
        <w:autoSpaceDE/>
        <w:autoSpaceDN/>
        <w:bidi w:val="0"/>
        <w:adjustRightInd/>
        <w:snapToGrid/>
        <w:spacing w:line="430" w:lineRule="exact"/>
        <w:jc w:val="center"/>
        <w:textAlignment w:val="auto"/>
        <w:rPr>
          <w:rFonts w:hint="default" w:ascii="Times New Roman" w:hAnsi="Times New Roman" w:eastAsia="仿宋_GB2312" w:cs="Times New Roman"/>
          <w:b/>
          <w:i w:val="0"/>
          <w:iCs w:val="0"/>
          <w:color w:val="auto"/>
          <w:sz w:val="30"/>
          <w:szCs w:val="30"/>
          <w:highlight w:val="none"/>
        </w:rPr>
      </w:pPr>
      <w:r>
        <w:rPr>
          <w:rFonts w:hint="eastAsia" w:ascii="仿宋" w:hAnsi="仿宋" w:eastAsia="仿宋" w:cs="仿宋"/>
          <w:color w:val="auto"/>
          <w:sz w:val="21"/>
          <w:szCs w:val="21"/>
          <w:highlight w:val="none"/>
        </w:rPr>
        <w:br w:type="page"/>
      </w:r>
      <w:r>
        <w:rPr>
          <w:rFonts w:hint="default" w:ascii="Times New Roman" w:hAnsi="Times New Roman" w:eastAsia="仿宋_GB2312" w:cs="Times New Roman"/>
          <w:b/>
          <w:i w:val="0"/>
          <w:iCs w:val="0"/>
          <w:color w:val="auto"/>
          <w:sz w:val="30"/>
          <w:szCs w:val="30"/>
          <w:highlight w:val="none"/>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660"/>
        <w:gridCol w:w="468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3"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序号</w:t>
            </w:r>
          </w:p>
        </w:tc>
        <w:tc>
          <w:tcPr>
            <w:tcW w:w="2660"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评审内容</w:t>
            </w:r>
          </w:p>
        </w:tc>
        <w:tc>
          <w:tcPr>
            <w:tcW w:w="4686"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评审合格标准</w:t>
            </w:r>
          </w:p>
        </w:tc>
        <w:tc>
          <w:tcPr>
            <w:tcW w:w="1180"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3" w:type="dxa"/>
            <w:vAlign w:val="center"/>
          </w:tcPr>
          <w:p>
            <w:pPr>
              <w:snapToGrid w:val="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1</w:t>
            </w:r>
          </w:p>
        </w:tc>
        <w:tc>
          <w:tcPr>
            <w:tcW w:w="2660" w:type="dxa"/>
            <w:vAlign w:val="center"/>
          </w:tcPr>
          <w:p>
            <w:pPr>
              <w:snapToGrid w:val="0"/>
              <w:spacing w:line="240" w:lineRule="auto"/>
              <w:jc w:val="left"/>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供应商名称</w:t>
            </w:r>
          </w:p>
        </w:tc>
        <w:tc>
          <w:tcPr>
            <w:tcW w:w="4686" w:type="dxa"/>
            <w:vAlign w:val="center"/>
          </w:tcPr>
          <w:p>
            <w:pPr>
              <w:snapToGrid w:val="0"/>
              <w:spacing w:line="240" w:lineRule="auto"/>
              <w:jc w:val="left"/>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与营业执照一致（符合法定工商变更程序除外）；</w:t>
            </w:r>
          </w:p>
        </w:tc>
        <w:tc>
          <w:tcPr>
            <w:tcW w:w="1180" w:type="dxa"/>
            <w:vAlign w:val="center"/>
          </w:tcPr>
          <w:p>
            <w:pPr>
              <w:snapToGrid w:val="0"/>
              <w:jc w:val="center"/>
              <w:rPr>
                <w:rFonts w:hint="eastAsia" w:ascii="仿宋" w:hAnsi="仿宋" w:eastAsia="仿宋" w:cs="仿宋"/>
                <w:b/>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具有独立承担民事责任的能力</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提供了有效的法人或者其他组织的营业执照等证明文件，自然人的身份证明</w:t>
            </w:r>
          </w:p>
        </w:tc>
        <w:tc>
          <w:tcPr>
            <w:tcW w:w="1180" w:type="dxa"/>
            <w:vAlign w:val="center"/>
          </w:tcPr>
          <w:p>
            <w:pPr>
              <w:snapToGrid w:val="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3</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有依法缴纳税收和社会保障资金的良好记录</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1.提供了磋商文件要求时间内</w:t>
            </w:r>
            <w:r>
              <w:rPr>
                <w:rFonts w:hint="eastAsia" w:ascii="仿宋" w:hAnsi="仿宋" w:eastAsia="仿宋" w:cs="仿宋"/>
                <w:i w:val="0"/>
                <w:iCs w:val="0"/>
                <w:color w:val="auto"/>
                <w:sz w:val="21"/>
                <w:szCs w:val="21"/>
                <w:highlight w:val="none"/>
                <w:lang w:eastAsia="zh-CN"/>
              </w:rPr>
              <w:t>的</w:t>
            </w:r>
            <w:r>
              <w:rPr>
                <w:rFonts w:hint="eastAsia" w:ascii="仿宋" w:hAnsi="仿宋" w:eastAsia="仿宋" w:cs="仿宋"/>
                <w:i w:val="0"/>
                <w:iCs w:val="0"/>
                <w:color w:val="auto"/>
                <w:sz w:val="21"/>
                <w:szCs w:val="21"/>
                <w:highlight w:val="none"/>
              </w:rPr>
              <w:t>缴纳增值税和企业所得税的凭证（银行出具的缴税凭证或税务机关出具的证明的复印件，并加盖本单位公章）或免税证明（复印件加盖公章）。</w:t>
            </w:r>
          </w:p>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2.提供了磋商文件要求时间内</w:t>
            </w:r>
            <w:r>
              <w:rPr>
                <w:rFonts w:hint="eastAsia" w:ascii="仿宋" w:hAnsi="仿宋" w:eastAsia="仿宋" w:cs="仿宋"/>
                <w:i w:val="0"/>
                <w:iCs w:val="0"/>
                <w:color w:val="auto"/>
                <w:sz w:val="21"/>
                <w:szCs w:val="21"/>
                <w:highlight w:val="none"/>
                <w:lang w:eastAsia="zh-CN"/>
              </w:rPr>
              <w:t>的</w:t>
            </w:r>
            <w:r>
              <w:rPr>
                <w:rFonts w:hint="eastAsia" w:ascii="仿宋" w:hAnsi="仿宋" w:eastAsia="仿宋" w:cs="仿宋"/>
                <w:i w:val="0"/>
                <w:iCs w:val="0"/>
                <w:color w:val="auto"/>
                <w:sz w:val="21"/>
                <w:szCs w:val="21"/>
                <w:highlight w:val="none"/>
              </w:rPr>
              <w:t>社会保障资金缴纳记录（专用收据或社会保险缴纳清单）或免缴纳证明（复印件加盖公章）</w:t>
            </w:r>
          </w:p>
        </w:tc>
        <w:tc>
          <w:tcPr>
            <w:tcW w:w="1180" w:type="dxa"/>
            <w:vAlign w:val="center"/>
          </w:tcPr>
          <w:p>
            <w:pPr>
              <w:snapToGrid w:val="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4</w:t>
            </w:r>
          </w:p>
        </w:tc>
        <w:tc>
          <w:tcPr>
            <w:tcW w:w="2660" w:type="dxa"/>
            <w:vAlign w:val="center"/>
          </w:tcPr>
          <w:p>
            <w:pPr>
              <w:snapToGrid w:val="0"/>
              <w:spacing w:line="240" w:lineRule="auto"/>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参加</w:t>
            </w:r>
            <w:r>
              <w:rPr>
                <w:rFonts w:hint="eastAsia" w:ascii="仿宋" w:hAnsi="仿宋" w:eastAsia="仿宋" w:cs="仿宋"/>
                <w:i w:val="0"/>
                <w:iCs w:val="0"/>
                <w:color w:val="auto"/>
                <w:sz w:val="21"/>
                <w:szCs w:val="21"/>
                <w:highlight w:val="none"/>
                <w:lang w:val="en-US" w:eastAsia="zh-CN"/>
              </w:rPr>
              <w:t>本</w:t>
            </w:r>
            <w:r>
              <w:rPr>
                <w:rFonts w:hint="eastAsia" w:ascii="仿宋" w:hAnsi="仿宋" w:eastAsia="仿宋" w:cs="仿宋"/>
                <w:i w:val="0"/>
                <w:iCs w:val="0"/>
                <w:color w:val="auto"/>
                <w:sz w:val="21"/>
                <w:szCs w:val="21"/>
                <w:highlight w:val="none"/>
              </w:rPr>
              <w:t>采购</w:t>
            </w:r>
            <w:r>
              <w:rPr>
                <w:rFonts w:hint="eastAsia" w:ascii="仿宋" w:hAnsi="仿宋" w:eastAsia="仿宋" w:cs="仿宋"/>
                <w:i w:val="0"/>
                <w:iCs w:val="0"/>
                <w:color w:val="auto"/>
                <w:sz w:val="21"/>
                <w:szCs w:val="21"/>
                <w:highlight w:val="none"/>
                <w:lang w:val="en-US" w:eastAsia="zh-CN"/>
              </w:rPr>
              <w:t>活动</w:t>
            </w:r>
            <w:r>
              <w:rPr>
                <w:rFonts w:hint="eastAsia" w:ascii="仿宋" w:hAnsi="仿宋" w:eastAsia="仿宋" w:cs="仿宋"/>
                <w:i w:val="0"/>
                <w:iCs w:val="0"/>
                <w:color w:val="auto"/>
                <w:sz w:val="21"/>
                <w:szCs w:val="21"/>
                <w:highlight w:val="none"/>
              </w:rPr>
              <w:t>三年内，在经营活动中没有重大违法记录</w:t>
            </w:r>
          </w:p>
        </w:tc>
        <w:tc>
          <w:tcPr>
            <w:tcW w:w="4686" w:type="dxa"/>
            <w:vAlign w:val="center"/>
          </w:tcPr>
          <w:p>
            <w:pPr>
              <w:snapToGrid w:val="0"/>
              <w:spacing w:line="240" w:lineRule="auto"/>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提供了有效的3年内在经营活动中没有重大违法记录的书面声明</w:t>
            </w:r>
          </w:p>
        </w:tc>
        <w:tc>
          <w:tcPr>
            <w:tcW w:w="1180" w:type="dxa"/>
            <w:vAlign w:val="center"/>
          </w:tcPr>
          <w:p>
            <w:pPr>
              <w:snapToGrid w:val="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5</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法律、行政法规规定的其他条件</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不存在违反法律、法规的情况</w:t>
            </w:r>
          </w:p>
        </w:tc>
        <w:tc>
          <w:tcPr>
            <w:tcW w:w="1180" w:type="dxa"/>
            <w:vAlign w:val="center"/>
          </w:tcPr>
          <w:p>
            <w:pPr>
              <w:snapToGrid w:val="0"/>
              <w:ind w:left="425"/>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6</w:t>
            </w:r>
          </w:p>
        </w:tc>
        <w:tc>
          <w:tcPr>
            <w:tcW w:w="2660" w:type="dxa"/>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“信用中国”网站和中国政府采购网（www.ccgp.gov.cn）查询记录</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未被“信用中国”网站（</w:t>
            </w: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"http://www.creditchina.gov.cn）中列入失信被执行人和/"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www.creditchina.gov.cn）中列入失信被执行人和</w:t>
            </w:r>
            <w:r>
              <w:rPr>
                <w:rFonts w:hint="eastAsia" w:ascii="仿宋" w:hAnsi="仿宋" w:eastAsia="仿宋" w:cs="仿宋"/>
                <w:i w:val="0"/>
                <w:iCs w:val="0"/>
                <w:color w:val="auto"/>
                <w:sz w:val="21"/>
                <w:szCs w:val="21"/>
                <w:highlight w:val="none"/>
              </w:rPr>
              <w:fldChar w:fldCharType="end"/>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sz w:val="21"/>
                <w:szCs w:val="21"/>
                <w:highlight w:val="none"/>
              </w:rPr>
              <w:t>的供应商、未被中国政府采购网（www.ccgp.gov.cn）列入政府采购严重违法失信行为记录名单中被财政部门禁止参加政府采购活动的供应商（处罚决定规定的时间和地域范围内）</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以网站截图打印并加盖公章为准</w:t>
            </w:r>
            <w:r>
              <w:rPr>
                <w:rFonts w:hint="eastAsia" w:ascii="仿宋" w:hAnsi="仿宋" w:eastAsia="仿宋" w:cs="仿宋"/>
                <w:i w:val="0"/>
                <w:iCs w:val="0"/>
                <w:color w:val="auto"/>
                <w:sz w:val="21"/>
                <w:szCs w:val="21"/>
                <w:highlight w:val="none"/>
                <w:lang w:eastAsia="zh-CN"/>
              </w:rPr>
              <w:t>）</w:t>
            </w:r>
          </w:p>
        </w:tc>
        <w:tc>
          <w:tcPr>
            <w:tcW w:w="1180" w:type="dxa"/>
            <w:vAlign w:val="center"/>
          </w:tcPr>
          <w:p>
            <w:pPr>
              <w:snapToGrid w:val="0"/>
              <w:ind w:left="425"/>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3" w:type="dxa"/>
            <w:vMerge w:val="restart"/>
            <w:vAlign w:val="center"/>
          </w:tcPr>
          <w:p>
            <w:pPr>
              <w:snapToGrid w:val="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7</w:t>
            </w:r>
          </w:p>
        </w:tc>
        <w:tc>
          <w:tcPr>
            <w:tcW w:w="2660" w:type="dxa"/>
            <w:vMerge w:val="restart"/>
            <w:vAlign w:val="center"/>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供应商特定资格条件</w:t>
            </w:r>
          </w:p>
        </w:tc>
        <w:tc>
          <w:tcPr>
            <w:tcW w:w="4686" w:type="dxa"/>
          </w:tcPr>
          <w:p>
            <w:pPr>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r>
              <w:rPr>
                <w:rFonts w:hint="eastAsia" w:ascii="仿宋" w:hAnsi="仿宋" w:eastAsia="仿宋" w:cs="仿宋"/>
                <w:i w:val="0"/>
                <w:iCs w:val="0"/>
                <w:color w:val="auto"/>
                <w:sz w:val="21"/>
                <w:szCs w:val="21"/>
                <w:highlight w:val="none"/>
                <w:lang w:val="en-US" w:eastAsia="zh-CN"/>
              </w:rPr>
              <w:t>加盖公章</w:t>
            </w:r>
            <w:r>
              <w:rPr>
                <w:rFonts w:hint="eastAsia" w:ascii="仿宋" w:hAnsi="仿宋" w:eastAsia="仿宋" w:cs="仿宋"/>
                <w:i w:val="0"/>
                <w:iCs w:val="0"/>
                <w:color w:val="auto"/>
                <w:sz w:val="21"/>
                <w:szCs w:val="21"/>
                <w:highlight w:val="none"/>
                <w:lang w:val="zh-CN"/>
              </w:rPr>
              <w:t>）；</w:t>
            </w:r>
          </w:p>
        </w:tc>
        <w:tc>
          <w:tcPr>
            <w:tcW w:w="1180" w:type="dxa"/>
            <w:vMerge w:val="restart"/>
            <w:vAlign w:val="center"/>
          </w:tcPr>
          <w:p>
            <w:pPr>
              <w:snapToGrid w:val="0"/>
              <w:ind w:left="425"/>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3" w:type="dxa"/>
            <w:vMerge w:val="continue"/>
            <w:vAlign w:val="center"/>
          </w:tcPr>
          <w:p>
            <w:pPr>
              <w:snapToGrid w:val="0"/>
              <w:jc w:val="left"/>
              <w:rPr>
                <w:color w:val="auto"/>
                <w:highlight w:val="none"/>
              </w:rPr>
            </w:pPr>
          </w:p>
        </w:tc>
        <w:tc>
          <w:tcPr>
            <w:tcW w:w="2660" w:type="dxa"/>
            <w:vMerge w:val="continue"/>
            <w:vAlign w:val="center"/>
          </w:tcPr>
          <w:p>
            <w:pPr>
              <w:snapToGrid w:val="0"/>
              <w:spacing w:line="240" w:lineRule="auto"/>
              <w:jc w:val="left"/>
              <w:rPr>
                <w:color w:val="auto"/>
                <w:highlight w:val="none"/>
              </w:rPr>
            </w:pPr>
          </w:p>
        </w:tc>
        <w:tc>
          <w:tcPr>
            <w:tcW w:w="4686" w:type="dxa"/>
          </w:tcPr>
          <w:p>
            <w:pPr>
              <w:pStyle w:val="24"/>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2.</w:t>
            </w:r>
            <w:r>
              <w:rPr>
                <w:rFonts w:hint="eastAsia" w:ascii="仿宋" w:hAnsi="仿宋" w:eastAsia="仿宋" w:cs="仿宋"/>
                <w:i w:val="0"/>
                <w:iCs w:val="0"/>
                <w:color w:val="auto"/>
                <w:kern w:val="0"/>
                <w:sz w:val="21"/>
                <w:szCs w:val="21"/>
                <w:highlight w:val="none"/>
                <w:lang w:val="zh-CN"/>
              </w:rPr>
              <w:t>供应商</w:t>
            </w:r>
            <w:r>
              <w:rPr>
                <w:rFonts w:hint="eastAsia" w:ascii="仿宋" w:hAnsi="仿宋" w:eastAsia="仿宋" w:cs="仿宋"/>
                <w:i w:val="0"/>
                <w:iCs w:val="0"/>
                <w:color w:val="auto"/>
                <w:kern w:val="0"/>
                <w:sz w:val="21"/>
                <w:szCs w:val="21"/>
                <w:highlight w:val="none"/>
                <w:lang w:val="en-US" w:eastAsia="zh-CN"/>
              </w:rPr>
              <w:t>具备工程设计综合资质甲级资质,或建筑行业工程设计甲级资质,或【建筑行业（建筑工程）甲级资质;</w:t>
            </w:r>
          </w:p>
        </w:tc>
        <w:tc>
          <w:tcPr>
            <w:tcW w:w="1180" w:type="dxa"/>
            <w:vMerge w:val="continue"/>
            <w:vAlign w:val="center"/>
          </w:tcPr>
          <w:p>
            <w:pPr>
              <w:snapToGrid w:val="0"/>
              <w:jc w:val="left"/>
              <w:rPr>
                <w:rFonts w:hint="eastAsia" w:ascii="仿宋" w:hAnsi="仿宋" w:eastAsia="仿宋" w:cs="仿宋"/>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3" w:type="dxa"/>
            <w:vMerge w:val="continue"/>
            <w:vAlign w:val="center"/>
          </w:tcPr>
          <w:p>
            <w:pPr>
              <w:snapToGrid w:val="0"/>
              <w:jc w:val="left"/>
              <w:rPr>
                <w:color w:val="auto"/>
                <w:highlight w:val="none"/>
              </w:rPr>
            </w:pPr>
          </w:p>
        </w:tc>
        <w:tc>
          <w:tcPr>
            <w:tcW w:w="2660" w:type="dxa"/>
            <w:vMerge w:val="continue"/>
            <w:vAlign w:val="center"/>
          </w:tcPr>
          <w:p>
            <w:pPr>
              <w:snapToGrid w:val="0"/>
              <w:spacing w:line="240" w:lineRule="auto"/>
              <w:jc w:val="left"/>
              <w:rPr>
                <w:color w:val="auto"/>
                <w:highlight w:val="none"/>
              </w:rPr>
            </w:pPr>
          </w:p>
        </w:tc>
        <w:tc>
          <w:tcPr>
            <w:tcW w:w="4686" w:type="dxa"/>
          </w:tcPr>
          <w:p>
            <w:pPr>
              <w:pStyle w:val="24"/>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3.拟派项目负责人具备一级注册建筑师执业资格且本单位注册;</w:t>
            </w:r>
          </w:p>
        </w:tc>
        <w:tc>
          <w:tcPr>
            <w:tcW w:w="1180" w:type="dxa"/>
            <w:vMerge w:val="continue"/>
            <w:vAlign w:val="center"/>
          </w:tcPr>
          <w:p>
            <w:pPr>
              <w:snapToGrid w:val="0"/>
              <w:jc w:val="left"/>
              <w:rPr>
                <w:rFonts w:hint="eastAsia" w:ascii="仿宋" w:hAnsi="仿宋" w:eastAsia="仿宋" w:cs="仿宋"/>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53" w:type="dxa"/>
            <w:vAlign w:val="center"/>
          </w:tcPr>
          <w:p>
            <w:pPr>
              <w:snapToGrid w:val="0"/>
              <w:jc w:val="center"/>
              <w:rPr>
                <w:rFonts w:hint="eastAsia" w:ascii="仿宋" w:hAnsi="仿宋" w:eastAsia="仿宋" w:cs="仿宋"/>
                <w:i w:val="0"/>
                <w:iCs w:val="0"/>
                <w:color w:val="auto"/>
                <w:sz w:val="21"/>
                <w:szCs w:val="21"/>
                <w:highlight w:val="none"/>
              </w:rPr>
            </w:pPr>
          </w:p>
        </w:tc>
        <w:tc>
          <w:tcPr>
            <w:tcW w:w="2660" w:type="dxa"/>
            <w:vAlign w:val="center"/>
          </w:tcPr>
          <w:p>
            <w:pPr>
              <w:snapToGrid w:val="0"/>
              <w:ind w:left="425"/>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结论</w:t>
            </w:r>
          </w:p>
        </w:tc>
        <w:tc>
          <w:tcPr>
            <w:tcW w:w="4686" w:type="dxa"/>
          </w:tcPr>
          <w:p>
            <w:pPr>
              <w:snapToGrid w:val="0"/>
              <w:jc w:val="center"/>
              <w:rPr>
                <w:rFonts w:hint="eastAsia" w:ascii="仿宋" w:hAnsi="仿宋" w:eastAsia="仿宋" w:cs="仿宋"/>
                <w:i w:val="0"/>
                <w:iCs w:val="0"/>
                <w:color w:val="auto"/>
                <w:sz w:val="21"/>
                <w:szCs w:val="21"/>
                <w:highlight w:val="none"/>
              </w:rPr>
            </w:pPr>
          </w:p>
        </w:tc>
        <w:tc>
          <w:tcPr>
            <w:tcW w:w="1180" w:type="dxa"/>
            <w:vAlign w:val="center"/>
          </w:tcPr>
          <w:p>
            <w:pPr>
              <w:snapToGrid w:val="0"/>
              <w:ind w:left="425"/>
              <w:jc w:val="center"/>
              <w:rPr>
                <w:rFonts w:hint="eastAsia" w:ascii="仿宋" w:hAnsi="仿宋" w:eastAsia="仿宋" w:cs="仿宋"/>
                <w:i w:val="0"/>
                <w:iCs w:val="0"/>
                <w:color w:val="auto"/>
                <w:sz w:val="21"/>
                <w:szCs w:val="21"/>
                <w:highlight w:val="none"/>
              </w:rPr>
            </w:pPr>
          </w:p>
        </w:tc>
      </w:tr>
    </w:tbl>
    <w:p>
      <w:pPr>
        <w:spacing w:line="0" w:lineRule="atLeast"/>
        <w:ind w:left="425"/>
        <w:rPr>
          <w:rFonts w:hint="default" w:ascii="Times New Roman" w:hAnsi="Times New Roman" w:eastAsia="仿宋_GB2312" w:cs="Times New Roman"/>
          <w:i w:val="0"/>
          <w:iCs w:val="0"/>
          <w:color w:val="auto"/>
          <w:szCs w:val="21"/>
          <w:highlight w:val="none"/>
        </w:rPr>
      </w:pPr>
      <w:r>
        <w:rPr>
          <w:rFonts w:hint="default" w:ascii="Times New Roman" w:hAnsi="Times New Roman" w:eastAsia="仿宋_GB2312" w:cs="Times New Roman"/>
          <w:i w:val="0"/>
          <w:iCs w:val="0"/>
          <w:color w:val="auto"/>
          <w:szCs w:val="21"/>
          <w:highlight w:val="none"/>
        </w:rPr>
        <w:t>注：符合要求用“</w:t>
      </w:r>
      <w:r>
        <w:rPr>
          <w:rFonts w:hint="eastAsia" w:ascii="仿宋" w:hAnsi="仿宋" w:eastAsia="仿宋" w:cs="仿宋"/>
          <w:b/>
          <w:color w:val="auto"/>
          <w:szCs w:val="21"/>
          <w:highlight w:val="none"/>
          <w:lang w:eastAsia="zh-CN"/>
        </w:rPr>
        <w:t>√</w:t>
      </w:r>
      <w:r>
        <w:rPr>
          <w:rFonts w:hint="default" w:ascii="Times New Roman" w:hAnsi="Times New Roman" w:eastAsia="仿宋_GB2312" w:cs="Times New Roman"/>
          <w:i w:val="0"/>
          <w:iCs w:val="0"/>
          <w:color w:val="auto"/>
          <w:szCs w:val="21"/>
          <w:highlight w:val="none"/>
        </w:rPr>
        <w:t>”表示，不符合用“×”表示。有一项不符合要求，结论为不合格。</w:t>
      </w:r>
    </w:p>
    <w:p>
      <w:pPr>
        <w:spacing w:line="360" w:lineRule="auto"/>
        <w:jc w:val="center"/>
        <w:rPr>
          <w:rFonts w:hint="default" w:ascii="Times New Roman" w:hAnsi="Times New Roman" w:eastAsia="仿宋_GB2312" w:cs="Times New Roman"/>
          <w:b/>
          <w:i w:val="0"/>
          <w:iCs w:val="0"/>
          <w:color w:val="auto"/>
          <w:sz w:val="28"/>
          <w:szCs w:val="28"/>
          <w:highlight w:val="none"/>
        </w:rPr>
      </w:pPr>
      <w:r>
        <w:rPr>
          <w:rFonts w:hint="default" w:ascii="Times New Roman" w:hAnsi="Times New Roman" w:eastAsia="仿宋_GB2312" w:cs="Times New Roman"/>
          <w:i w:val="0"/>
          <w:iCs w:val="0"/>
          <w:color w:val="auto"/>
          <w:szCs w:val="21"/>
          <w:highlight w:val="none"/>
        </w:rPr>
        <w:br w:type="page"/>
      </w:r>
      <w:r>
        <w:rPr>
          <w:rFonts w:hint="default" w:ascii="Times New Roman" w:hAnsi="Times New Roman" w:eastAsia="仿宋_GB2312" w:cs="Times New Roman"/>
          <w:b/>
          <w:i w:val="0"/>
          <w:iCs w:val="0"/>
          <w:color w:val="auto"/>
          <w:sz w:val="30"/>
          <w:szCs w:val="30"/>
          <w:highlight w:val="none"/>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序号</w:t>
            </w:r>
          </w:p>
        </w:tc>
        <w:tc>
          <w:tcPr>
            <w:tcW w:w="1723"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评审项目</w:t>
            </w:r>
          </w:p>
        </w:tc>
        <w:tc>
          <w:tcPr>
            <w:tcW w:w="5401"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评审标准</w:t>
            </w:r>
          </w:p>
        </w:tc>
        <w:tc>
          <w:tcPr>
            <w:tcW w:w="1313" w:type="dxa"/>
            <w:vAlign w:val="center"/>
          </w:tcPr>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评审结论</w:t>
            </w:r>
          </w:p>
          <w:p>
            <w:pPr>
              <w:tabs>
                <w:tab w:val="left" w:pos="1260"/>
                <w:tab w:val="left" w:pos="1620"/>
              </w:tabs>
              <w:adjustRightInd w:val="0"/>
              <w:snapToGrid w:val="0"/>
              <w:jc w:val="center"/>
              <w:textAlignment w:val="baseline"/>
              <w:rPr>
                <w:rFonts w:hint="eastAsia" w:ascii="仿宋" w:hAnsi="仿宋" w:eastAsia="仿宋" w:cs="仿宋"/>
                <w:b/>
                <w:i w:val="0"/>
                <w:iCs w:val="0"/>
                <w:caps/>
                <w:color w:val="auto"/>
                <w:sz w:val="21"/>
                <w:szCs w:val="21"/>
                <w:highlight w:val="none"/>
              </w:rPr>
            </w:pPr>
            <w:r>
              <w:rPr>
                <w:rFonts w:hint="eastAsia" w:ascii="仿宋" w:hAnsi="仿宋" w:eastAsia="仿宋" w:cs="仿宋"/>
                <w:b/>
                <w:i w:val="0"/>
                <w:iCs w:val="0"/>
                <w:caps/>
                <w:color w:val="auto"/>
                <w:sz w:val="21"/>
                <w:szCs w:val="21"/>
                <w:highlight w:val="none"/>
              </w:rPr>
              <w:t>（</w:t>
            </w:r>
            <w:r>
              <w:rPr>
                <w:rFonts w:hint="eastAsia" w:ascii="仿宋" w:hAnsi="仿宋" w:eastAsia="仿宋" w:cs="仿宋"/>
                <w:i w:val="0"/>
                <w:iCs w:val="0"/>
                <w:color w:val="auto"/>
                <w:sz w:val="21"/>
                <w:szCs w:val="21"/>
                <w:highlight w:val="none"/>
              </w:rPr>
              <w:t>○</w:t>
            </w:r>
            <w:r>
              <w:rPr>
                <w:rFonts w:hint="eastAsia" w:ascii="仿宋" w:hAnsi="仿宋" w:eastAsia="仿宋" w:cs="仿宋"/>
                <w:b/>
                <w:i w:val="0"/>
                <w:iCs w:val="0"/>
                <w:caps/>
                <w:color w:val="auto"/>
                <w:sz w:val="21"/>
                <w:szCs w:val="21"/>
                <w:highlight w:val="none"/>
              </w:rPr>
              <w:t>/</w:t>
            </w:r>
            <w:r>
              <w:rPr>
                <w:rFonts w:hint="eastAsia" w:ascii="仿宋" w:hAnsi="仿宋" w:eastAsia="仿宋" w:cs="仿宋"/>
                <w:i w:val="0"/>
                <w:iCs w:val="0"/>
                <w:color w:val="auto"/>
                <w:sz w:val="21"/>
                <w:szCs w:val="21"/>
                <w:highlight w:val="none"/>
              </w:rPr>
              <w:t>×</w:t>
            </w:r>
            <w:r>
              <w:rPr>
                <w:rFonts w:hint="eastAsia" w:ascii="仿宋" w:hAnsi="仿宋" w:eastAsia="仿宋" w:cs="仿宋"/>
                <w:b/>
                <w:i w:val="0"/>
                <w:iCs w:val="0"/>
                <w:caps/>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响应文件签署盖章</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报价</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附加条件</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公平竞争</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弄虚作假、相互串通的情形见附注</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其他无效情形</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响应文件有效期</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有效期满足磋商文件要求的；</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响应文件格式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备选方案</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strike/>
                <w:color w:val="auto"/>
                <w:sz w:val="21"/>
                <w:szCs w:val="21"/>
                <w:highlight w:val="none"/>
              </w:rPr>
            </w:pPr>
            <w:r>
              <w:rPr>
                <w:rFonts w:hint="eastAsia" w:ascii="仿宋" w:hAnsi="仿宋" w:eastAsia="仿宋" w:cs="仿宋"/>
                <w:i w:val="0"/>
                <w:iCs w:val="0"/>
                <w:color w:val="auto"/>
                <w:sz w:val="21"/>
                <w:szCs w:val="21"/>
                <w:highlight w:val="none"/>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响应文件内容</w:t>
            </w:r>
          </w:p>
        </w:tc>
        <w:tc>
          <w:tcPr>
            <w:tcW w:w="5401" w:type="dxa"/>
            <w:shd w:val="clear" w:color="auto" w:fill="auto"/>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shd w:val="clear" w:color="auto"/>
              </w:rPr>
              <w:t>供应商提供的</w:t>
            </w:r>
            <w:r>
              <w:rPr>
                <w:rFonts w:hint="eastAsia" w:ascii="仿宋" w:hAnsi="仿宋" w:eastAsia="仿宋" w:cs="仿宋"/>
                <w:i w:val="0"/>
                <w:iCs w:val="0"/>
                <w:color w:val="auto"/>
                <w:sz w:val="21"/>
                <w:szCs w:val="21"/>
                <w:highlight w:val="none"/>
                <w:shd w:val="clear" w:color="auto"/>
                <w:lang w:eastAsia="zh-CN"/>
              </w:rPr>
              <w:t>服务</w:t>
            </w:r>
            <w:r>
              <w:rPr>
                <w:rFonts w:hint="eastAsia" w:ascii="仿宋" w:hAnsi="仿宋" w:eastAsia="仿宋" w:cs="仿宋"/>
                <w:i w:val="0"/>
                <w:iCs w:val="0"/>
                <w:color w:val="auto"/>
                <w:sz w:val="21"/>
                <w:szCs w:val="21"/>
                <w:highlight w:val="none"/>
                <w:shd w:val="clear" w:color="auto"/>
              </w:rPr>
              <w:t>无实质性遗漏</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技术响应</w:t>
            </w:r>
          </w:p>
        </w:tc>
        <w:tc>
          <w:tcPr>
            <w:tcW w:w="5401" w:type="dxa"/>
            <w:shd w:val="clear" w:color="auto" w:fill="auto"/>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shd w:val="clear" w:color="auto"/>
              </w:rPr>
              <w:t>符合“采购需求”要求，无重大偏差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服务期</w:t>
            </w:r>
            <w:r>
              <w:rPr>
                <w:rFonts w:hint="eastAsia" w:ascii="仿宋" w:hAnsi="仿宋" w:eastAsia="仿宋" w:cs="仿宋"/>
                <w:i w:val="0"/>
                <w:iCs w:val="0"/>
                <w:color w:val="auto"/>
                <w:sz w:val="21"/>
                <w:szCs w:val="21"/>
                <w:highlight w:val="none"/>
              </w:rPr>
              <w:t>和</w:t>
            </w:r>
            <w:r>
              <w:rPr>
                <w:rFonts w:hint="eastAsia" w:ascii="仿宋" w:hAnsi="仿宋" w:eastAsia="仿宋" w:cs="仿宋"/>
                <w:i w:val="0"/>
                <w:iCs w:val="0"/>
                <w:color w:val="auto"/>
                <w:sz w:val="21"/>
                <w:szCs w:val="21"/>
                <w:highlight w:val="none"/>
                <w:lang w:eastAsia="zh-CN"/>
              </w:rPr>
              <w:t>服务地点</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满足磋商文件要求；</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付款方式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磋商文件不允许偏差时，响应文件无负偏差；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结论（通过或未通过）</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c>
          <w:tcPr>
            <w:tcW w:w="1313" w:type="dxa"/>
            <w:vAlign w:val="center"/>
          </w:tcPr>
          <w:p>
            <w:pPr>
              <w:tabs>
                <w:tab w:val="left" w:pos="1260"/>
                <w:tab w:val="left" w:pos="1620"/>
              </w:tabs>
              <w:adjustRightInd w:val="0"/>
              <w:snapToGrid w:val="0"/>
              <w:textAlignment w:val="baseline"/>
              <w:rPr>
                <w:rFonts w:hint="eastAsia" w:ascii="仿宋" w:hAnsi="仿宋" w:eastAsia="仿宋" w:cs="仿宋"/>
                <w:i w:val="0"/>
                <w:iCs w:val="0"/>
                <w:color w:val="auto"/>
                <w:sz w:val="21"/>
                <w:szCs w:val="21"/>
                <w:highlight w:val="none"/>
              </w:rPr>
            </w:pPr>
          </w:p>
        </w:tc>
      </w:tr>
    </w:tbl>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注：1、符合磋商文件要求用“</w:t>
      </w:r>
      <w:r>
        <w:rPr>
          <w:rFonts w:hint="eastAsia" w:ascii="仿宋" w:hAnsi="仿宋" w:eastAsia="仿宋" w:cs="仿宋"/>
          <w:b/>
          <w:color w:val="auto"/>
          <w:szCs w:val="21"/>
          <w:highlight w:val="none"/>
          <w:lang w:eastAsia="zh-CN"/>
        </w:rPr>
        <w:t>√</w:t>
      </w:r>
      <w:r>
        <w:rPr>
          <w:rFonts w:hint="default" w:ascii="Times New Roman" w:hAnsi="Times New Roman" w:eastAsia="仿宋_GB2312" w:cs="Times New Roman"/>
          <w:b/>
          <w:i w:val="0"/>
          <w:iCs w:val="0"/>
          <w:color w:val="auto"/>
          <w:szCs w:val="21"/>
          <w:highlight w:val="none"/>
        </w:rPr>
        <w:t>”表示，不符合用“×”表示。有一项不符合要求，结论为不合格。</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2、有下列情形之一的，视为供应商相互串通：</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1）不同供应商的响应文件由同一单位或者个人编制；（2）不同供应商委托同一单位或者个人办理参与磋商事宜；（3）不同供应商的响应文件载明的项目管理成员或者联系人员为同一人；（4）不同供应商的响应文件异常一致或者报价呈规律性差异；（5）不同供应商的响应文件相互混装；</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（6）不同供应商的磋商保证金从同一单位或者个人的账户转出。</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3、有下列情形之一的，属于提供虚假材料谋取成交的行为：</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（1）使用伪造、变造的许可证件；（2）提供虚假的财务状况或者业绩；</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（3）提供虚假的项目负责人或者主要技术人员简历、劳动关系证明；（4）提供虚假的信用状况；</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r>
        <w:rPr>
          <w:rFonts w:hint="default" w:ascii="Times New Roman" w:hAnsi="Times New Roman" w:eastAsia="仿宋_GB2312" w:cs="Times New Roman"/>
          <w:b/>
          <w:i w:val="0"/>
          <w:iCs w:val="0"/>
          <w:color w:val="auto"/>
          <w:szCs w:val="21"/>
          <w:highlight w:val="none"/>
        </w:rPr>
        <w:t>（5）其他弄虚作假的行为。</w:t>
      </w: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p>
    <w:p>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430" w:lineRule="exact"/>
        <w:jc w:val="left"/>
        <w:textAlignment w:val="baseline"/>
        <w:rPr>
          <w:rFonts w:hint="default" w:ascii="Times New Roman" w:hAnsi="Times New Roman" w:eastAsia="仿宋_GB2312" w:cs="Times New Roman"/>
          <w:b/>
          <w:i w:val="0"/>
          <w:iCs w:val="0"/>
          <w:color w:val="auto"/>
          <w:szCs w:val="21"/>
          <w:highlight w:val="none"/>
        </w:rPr>
      </w:pPr>
    </w:p>
    <w:p>
      <w:pPr>
        <w:jc w:val="center"/>
        <w:rPr>
          <w:rFonts w:hint="eastAsia" w:ascii="Times New Roman" w:hAnsi="Times New Roman" w:eastAsia="仿宋_GB2312" w:cs="Times New Roman"/>
          <w:b/>
          <w:i w:val="0"/>
          <w:iCs w:val="0"/>
          <w:color w:val="auto"/>
          <w:sz w:val="30"/>
          <w:szCs w:val="30"/>
          <w:highlight w:val="none"/>
        </w:rPr>
      </w:pPr>
      <w:bookmarkStart w:id="403" w:name="_Toc414446034"/>
      <w:bookmarkStart w:id="404" w:name="_Toc7005048"/>
      <w:bookmarkStart w:id="405" w:name="_Toc410631198"/>
      <w:r>
        <w:rPr>
          <w:rFonts w:hint="eastAsia" w:ascii="Times New Roman" w:hAnsi="Times New Roman" w:eastAsia="仿宋_GB2312" w:cs="Times New Roman"/>
          <w:b/>
          <w:i w:val="0"/>
          <w:iCs w:val="0"/>
          <w:color w:val="auto"/>
          <w:sz w:val="30"/>
          <w:szCs w:val="30"/>
          <w:highlight w:val="none"/>
        </w:rPr>
        <w:t>附表三 评审因素及分值分配表</w:t>
      </w:r>
    </w:p>
    <w:p>
      <w:pPr>
        <w:pStyle w:val="24"/>
        <w:rPr>
          <w:color w:val="auto"/>
          <w:highlight w:val="none"/>
        </w:rPr>
      </w:pPr>
    </w:p>
    <w:tbl>
      <w:tblPr>
        <w:tblStyle w:val="5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42"/>
        <w:gridCol w:w="1706"/>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482" w:type="dxa"/>
            <w:noWrap w:val="0"/>
            <w:vAlign w:val="center"/>
          </w:tcPr>
          <w:p>
            <w:pPr>
              <w:spacing w:line="276" w:lineRule="auto"/>
              <w:jc w:val="center"/>
              <w:rPr>
                <w:rFonts w:hint="eastAsia" w:ascii="仿宋" w:hAnsi="仿宋" w:eastAsia="仿宋" w:cs="仿宋"/>
                <w:color w:val="auto"/>
                <w:sz w:val="28"/>
                <w:szCs w:val="28"/>
                <w:highlight w:val="none"/>
              </w:rPr>
            </w:pPr>
            <w:bookmarkStart w:id="406" w:name="_Hlk70413247"/>
            <w:r>
              <w:rPr>
                <w:rFonts w:hint="eastAsia" w:ascii="Times New Roman" w:hAnsi="Times New Roman" w:eastAsia="仿宋_GB2312" w:cs="Times New Roman"/>
                <w:i w:val="0"/>
                <w:iCs w:val="0"/>
                <w:color w:val="auto"/>
                <w:highlight w:val="none"/>
              </w:rPr>
              <w:t>序号</w:t>
            </w:r>
          </w:p>
        </w:tc>
        <w:tc>
          <w:tcPr>
            <w:tcW w:w="2648" w:type="dxa"/>
            <w:gridSpan w:val="2"/>
            <w:noWrap w:val="0"/>
            <w:vAlign w:val="center"/>
          </w:tcPr>
          <w:p>
            <w:pPr>
              <w:jc w:val="center"/>
              <w:rPr>
                <w:rFonts w:hint="eastAsia" w:ascii="Times New Roman" w:hAnsi="Times New Roman" w:eastAsia="仿宋_GB2312" w:cs="Times New Roman"/>
                <w:i w:val="0"/>
                <w:iCs w:val="0"/>
                <w:color w:val="auto"/>
                <w:highlight w:val="none"/>
              </w:rPr>
            </w:pPr>
            <w:r>
              <w:rPr>
                <w:rFonts w:hint="eastAsia" w:ascii="Times New Roman" w:hAnsi="Times New Roman" w:eastAsia="仿宋_GB2312" w:cs="Times New Roman"/>
                <w:i w:val="0"/>
                <w:iCs w:val="0"/>
                <w:color w:val="auto"/>
                <w:highlight w:val="none"/>
              </w:rPr>
              <w:t>评审内容</w:t>
            </w:r>
          </w:p>
        </w:tc>
        <w:tc>
          <w:tcPr>
            <w:tcW w:w="5788" w:type="dxa"/>
            <w:noWrap w:val="0"/>
            <w:vAlign w:val="center"/>
          </w:tcPr>
          <w:p>
            <w:pPr>
              <w:jc w:val="center"/>
              <w:rPr>
                <w:rFonts w:hint="eastAsia" w:ascii="Times New Roman" w:hAnsi="Times New Roman" w:eastAsia="仿宋_GB2312" w:cs="Times New Roman"/>
                <w:i w:val="0"/>
                <w:iCs w:val="0"/>
                <w:color w:val="auto"/>
                <w:highlight w:val="none"/>
              </w:rPr>
            </w:pPr>
            <w:r>
              <w:rPr>
                <w:rFonts w:hint="eastAsia" w:ascii="Times New Roman" w:hAnsi="Times New Roman" w:eastAsia="仿宋_GB2312" w:cs="Times New Roman"/>
                <w:i w:val="0"/>
                <w:iCs w:val="0"/>
                <w:color w:val="auto"/>
                <w:highlight w:val="none"/>
              </w:rPr>
              <w:t>评审依据及分值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82" w:type="dxa"/>
            <w:noWrap w:val="0"/>
            <w:vAlign w:val="center"/>
          </w:tcPr>
          <w:p>
            <w:pPr>
              <w:spacing w:line="276" w:lineRule="auto"/>
              <w:jc w:val="center"/>
              <w:rPr>
                <w:rFonts w:hint="eastAsia" w:ascii="Times New Roman" w:hAnsi="Times New Roman" w:eastAsia="仿宋_GB2312" w:cs="Times New Roman"/>
                <w:i w:val="0"/>
                <w:iCs w:val="0"/>
                <w:color w:val="auto"/>
                <w:highlight w:val="none"/>
              </w:rPr>
            </w:pPr>
            <w:r>
              <w:rPr>
                <w:rFonts w:hint="eastAsia" w:ascii="Times New Roman" w:hAnsi="Times New Roman" w:eastAsia="仿宋_GB2312" w:cs="Times New Roman"/>
                <w:i w:val="0"/>
                <w:iCs w:val="0"/>
                <w:color w:val="auto"/>
                <w:highlight w:val="none"/>
              </w:rPr>
              <w:t>1</w:t>
            </w:r>
          </w:p>
        </w:tc>
        <w:tc>
          <w:tcPr>
            <w:tcW w:w="942"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报价</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部分</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（20分）</w:t>
            </w: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磋商报价</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w:t>
            </w:r>
            <w:r>
              <w:rPr>
                <w:rFonts w:hint="eastAsia" w:eastAsia="仿宋_GB2312" w:cs="Times New Roman"/>
                <w:bCs/>
                <w:i w:val="0"/>
                <w:iCs w:val="0"/>
                <w:color w:val="auto"/>
                <w:kern w:val="2"/>
                <w:sz w:val="20"/>
                <w:szCs w:val="22"/>
                <w:highlight w:val="none"/>
                <w:lang w:val="en-US" w:eastAsia="zh-CN" w:bidi="ar-SA"/>
              </w:rPr>
              <w:t>20</w:t>
            </w:r>
            <w:r>
              <w:rPr>
                <w:rFonts w:hint="eastAsia" w:ascii="Times New Roman" w:hAnsi="Times New Roman" w:eastAsia="仿宋_GB2312" w:cs="Times New Roman"/>
                <w:bCs/>
                <w:i w:val="0"/>
                <w:iCs w:val="0"/>
                <w:color w:val="auto"/>
                <w:kern w:val="2"/>
                <w:sz w:val="20"/>
                <w:szCs w:val="22"/>
                <w:highlight w:val="none"/>
                <w:lang w:val="en-US" w:eastAsia="zh-CN" w:bidi="ar-SA"/>
              </w:rPr>
              <w:t>分）</w:t>
            </w:r>
          </w:p>
        </w:tc>
        <w:tc>
          <w:tcPr>
            <w:tcW w:w="5788" w:type="dxa"/>
            <w:noWrap w:val="0"/>
            <w:vAlign w:val="center"/>
          </w:tcPr>
          <w:p>
            <w:pPr>
              <w:spacing w:line="276" w:lineRule="auto"/>
              <w:rPr>
                <w:rFonts w:hint="eastAsia" w:ascii="Times New Roman" w:hAnsi="Times New Roman" w:eastAsia="仿宋_GB2312" w:cs="Times New Roman"/>
                <w:bCs/>
                <w:i w:val="0"/>
                <w:iCs w:val="0"/>
                <w:color w:val="auto"/>
                <w:kern w:val="2"/>
                <w:sz w:val="20"/>
                <w:szCs w:val="22"/>
                <w:highlight w:val="none"/>
                <w:lang w:val="zh-CN"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满足磋商文件要求且最后报价最低的供应商的价格为磋商基准价，其价格分为满分。其他供应商的价格分统一按照下列公式计算：磋商报价得分=（磋商基准价/最后磋商报价）×价格权值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82" w:type="dxa"/>
            <w:noWrap w:val="0"/>
            <w:vAlign w:val="center"/>
          </w:tcPr>
          <w:p>
            <w:pPr>
              <w:spacing w:line="276" w:lineRule="auto"/>
              <w:jc w:val="center"/>
              <w:rPr>
                <w:rFonts w:hint="eastAsia" w:ascii="Times New Roman" w:hAnsi="Times New Roman" w:eastAsia="仿宋_GB2312" w:cs="Times New Roman"/>
                <w:i w:val="0"/>
                <w:iCs w:val="0"/>
                <w:color w:val="auto"/>
                <w:highlight w:val="none"/>
                <w:lang w:eastAsia="zh-CN"/>
              </w:rPr>
            </w:pPr>
            <w:r>
              <w:rPr>
                <w:rFonts w:hint="eastAsia" w:eastAsia="仿宋_GB2312" w:cs="Times New Roman"/>
                <w:i w:val="0"/>
                <w:iCs w:val="0"/>
                <w:color w:val="auto"/>
                <w:highlight w:val="none"/>
                <w:lang w:val="en-US" w:eastAsia="zh-CN"/>
              </w:rPr>
              <w:t>2</w:t>
            </w:r>
          </w:p>
        </w:tc>
        <w:tc>
          <w:tcPr>
            <w:tcW w:w="942" w:type="dxa"/>
            <w:vMerge w:val="restart"/>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技术</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部分</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（55分）</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cs="Times New Roman"/>
                <w:bCs/>
                <w:i w:val="0"/>
                <w:iCs w:val="0"/>
                <w:color w:val="auto"/>
                <w:kern w:val="2"/>
                <w:sz w:val="20"/>
                <w:szCs w:val="22"/>
                <w:highlight w:val="none"/>
                <w:lang w:val="en-US" w:eastAsia="zh-CN" w:bidi="ar-SA"/>
              </w:rPr>
              <w:t>方案设计（20分）</w:t>
            </w:r>
          </w:p>
        </w:tc>
        <w:tc>
          <w:tcPr>
            <w:tcW w:w="5788" w:type="dxa"/>
            <w:noWrap w:val="0"/>
            <w:vAlign w:val="center"/>
          </w:tcPr>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（1）供应商</w:t>
            </w:r>
            <w:r>
              <w:rPr>
                <w:rFonts w:hint="default" w:ascii="Times New Roman" w:hAnsi="Times New Roman" w:eastAsia="仿宋_GB2312" w:cs="Times New Roman"/>
                <w:bCs/>
                <w:i w:val="0"/>
                <w:iCs w:val="0"/>
                <w:color w:val="auto"/>
                <w:kern w:val="2"/>
                <w:sz w:val="20"/>
                <w:szCs w:val="22"/>
                <w:highlight w:val="none"/>
                <w:lang w:val="en-US" w:eastAsia="zh-CN" w:bidi="ar-SA"/>
              </w:rPr>
              <w:t>提供完善的、合理的、全面的</w:t>
            </w:r>
            <w:r>
              <w:rPr>
                <w:rFonts w:hint="eastAsia" w:ascii="Times New Roman" w:hAnsi="Times New Roman" w:eastAsia="仿宋_GB2312" w:cs="Times New Roman"/>
                <w:bCs/>
                <w:i w:val="0"/>
                <w:iCs w:val="0"/>
                <w:color w:val="auto"/>
                <w:kern w:val="2"/>
                <w:sz w:val="20"/>
                <w:szCs w:val="22"/>
                <w:highlight w:val="none"/>
                <w:lang w:val="en-US" w:eastAsia="zh-CN" w:bidi="ar-SA"/>
              </w:rPr>
              <w:t>总平面规划方案设计、配套建筑设计</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10</w:t>
            </w:r>
            <w:r>
              <w:rPr>
                <w:rFonts w:hint="default" w:ascii="Times New Roman" w:hAnsi="Times New Roman" w:eastAsia="仿宋_GB2312" w:cs="Times New Roman"/>
                <w:bCs/>
                <w:i w:val="0"/>
                <w:iCs w:val="0"/>
                <w:color w:val="auto"/>
                <w:kern w:val="2"/>
                <w:sz w:val="20"/>
                <w:szCs w:val="22"/>
                <w:highlight w:val="none"/>
                <w:lang w:val="en-US" w:eastAsia="zh-CN" w:bidi="ar-SA"/>
              </w:rPr>
              <w:t>分。</w:t>
            </w:r>
          </w:p>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（2）供应商提供完善的、合理的、美观的景观规划设计（含海绵城市规划设计）及室外环境设施设计方案，</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4</w:t>
            </w:r>
            <w:r>
              <w:rPr>
                <w:rFonts w:hint="default" w:ascii="Times New Roman" w:hAnsi="Times New Roman" w:eastAsia="仿宋_GB2312" w:cs="Times New Roman"/>
                <w:bCs/>
                <w:i w:val="0"/>
                <w:iCs w:val="0"/>
                <w:color w:val="auto"/>
                <w:kern w:val="2"/>
                <w:sz w:val="20"/>
                <w:szCs w:val="22"/>
                <w:highlight w:val="none"/>
                <w:lang w:val="en-US" w:eastAsia="zh-CN" w:bidi="ar-SA"/>
              </w:rPr>
              <w:t>分。</w:t>
            </w:r>
          </w:p>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（3）供应商</w:t>
            </w:r>
            <w:r>
              <w:rPr>
                <w:rFonts w:hint="default" w:ascii="Times New Roman" w:hAnsi="Times New Roman" w:eastAsia="仿宋_GB2312" w:cs="Times New Roman"/>
                <w:bCs/>
                <w:i w:val="0"/>
                <w:iCs w:val="0"/>
                <w:color w:val="auto"/>
                <w:kern w:val="2"/>
                <w:sz w:val="20"/>
                <w:szCs w:val="22"/>
                <w:highlight w:val="none"/>
                <w:lang w:val="en-US" w:eastAsia="zh-CN" w:bidi="ar-SA"/>
              </w:rPr>
              <w:t>提供完善的、合理的、</w:t>
            </w:r>
            <w:r>
              <w:rPr>
                <w:rFonts w:hint="eastAsia" w:ascii="Times New Roman" w:hAnsi="Times New Roman" w:eastAsia="仿宋_GB2312" w:cs="Times New Roman"/>
                <w:bCs/>
                <w:i w:val="0"/>
                <w:iCs w:val="0"/>
                <w:color w:val="auto"/>
                <w:kern w:val="2"/>
                <w:sz w:val="20"/>
                <w:szCs w:val="22"/>
                <w:highlight w:val="none"/>
                <w:lang w:val="en-US" w:eastAsia="zh-CN" w:bidi="ar-SA"/>
              </w:rPr>
              <w:t>流畅的交通规划设计</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3</w:t>
            </w:r>
            <w:r>
              <w:rPr>
                <w:rFonts w:hint="default" w:ascii="Times New Roman" w:hAnsi="Times New Roman" w:eastAsia="仿宋_GB2312" w:cs="Times New Roman"/>
                <w:bCs/>
                <w:i w:val="0"/>
                <w:iCs w:val="0"/>
                <w:color w:val="auto"/>
                <w:kern w:val="2"/>
                <w:sz w:val="20"/>
                <w:szCs w:val="22"/>
                <w:highlight w:val="none"/>
                <w:lang w:val="en-US" w:eastAsia="zh-CN" w:bidi="ar-SA"/>
              </w:rPr>
              <w:t>分。</w:t>
            </w:r>
          </w:p>
          <w:p>
            <w:pPr>
              <w:spacing w:line="276" w:lineRule="auto"/>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（4）供应商</w:t>
            </w:r>
            <w:r>
              <w:rPr>
                <w:rFonts w:hint="default" w:ascii="Times New Roman" w:hAnsi="Times New Roman" w:eastAsia="仿宋_GB2312" w:cs="Times New Roman"/>
                <w:bCs/>
                <w:i w:val="0"/>
                <w:iCs w:val="0"/>
                <w:color w:val="auto"/>
                <w:kern w:val="2"/>
                <w:sz w:val="20"/>
                <w:szCs w:val="22"/>
                <w:highlight w:val="none"/>
                <w:lang w:val="en-US" w:eastAsia="zh-CN" w:bidi="ar-SA"/>
              </w:rPr>
              <w:t>提供完善的、合理的、</w:t>
            </w:r>
            <w:r>
              <w:rPr>
                <w:rFonts w:hint="eastAsia" w:ascii="Times New Roman" w:hAnsi="Times New Roman" w:eastAsia="仿宋_GB2312" w:cs="Times New Roman"/>
                <w:bCs/>
                <w:i w:val="0"/>
                <w:iCs w:val="0"/>
                <w:color w:val="auto"/>
                <w:kern w:val="2"/>
                <w:sz w:val="20"/>
                <w:szCs w:val="22"/>
                <w:highlight w:val="none"/>
                <w:lang w:val="en-US" w:eastAsia="zh-CN" w:bidi="ar-SA"/>
              </w:rPr>
              <w:t>美观的效果图</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ascii="Times New Roman" w:hAnsi="Times New Roman" w:eastAsia="仿宋_GB2312" w:cs="Times New Roman"/>
                <w:bCs/>
                <w:i w:val="0"/>
                <w:iCs w:val="0"/>
                <w:color w:val="auto"/>
                <w:kern w:val="2"/>
                <w:sz w:val="20"/>
                <w:szCs w:val="22"/>
                <w:highlight w:val="none"/>
                <w:lang w:val="en-US" w:eastAsia="zh-CN" w:bidi="ar-SA"/>
              </w:rPr>
              <w:t>3</w:t>
            </w:r>
            <w:r>
              <w:rPr>
                <w:rFonts w:hint="default" w:ascii="Times New Roman" w:hAnsi="Times New Roman" w:eastAsia="仿宋_GB2312" w:cs="Times New Roman"/>
                <w:bCs/>
                <w:i w:val="0"/>
                <w:iCs w:val="0"/>
                <w:color w:val="auto"/>
                <w:kern w:val="2"/>
                <w:sz w:val="20"/>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3</w:t>
            </w:r>
          </w:p>
        </w:tc>
        <w:tc>
          <w:tcPr>
            <w:tcW w:w="942" w:type="dxa"/>
            <w:vMerge w:val="continue"/>
            <w:noWrap w:val="0"/>
            <w:vAlign w:val="center"/>
          </w:tcPr>
          <w:p>
            <w:pPr>
              <w:pStyle w:val="301"/>
              <w:spacing w:line="276" w:lineRule="auto"/>
              <w:jc w:val="center"/>
              <w:rPr>
                <w:rFonts w:hint="default" w:ascii="Times New Roman" w:hAnsi="Times New Roman" w:eastAsia="仿宋_GB2312" w:cs="Times New Roman"/>
                <w:bCs/>
                <w:i w:val="0"/>
                <w:iCs w:val="0"/>
                <w:color w:val="auto"/>
                <w:kern w:val="2"/>
                <w:sz w:val="21"/>
                <w:szCs w:val="24"/>
                <w:highlight w:val="none"/>
                <w:lang w:val="en-US" w:eastAsia="zh-CN" w:bidi="ar-SA"/>
              </w:rPr>
            </w:pPr>
          </w:p>
        </w:tc>
        <w:tc>
          <w:tcPr>
            <w:tcW w:w="1706" w:type="dxa"/>
            <w:noWrap w:val="0"/>
            <w:vAlign w:val="center"/>
          </w:tcPr>
          <w:p>
            <w:pPr>
              <w:pStyle w:val="301"/>
              <w:spacing w:line="276" w:lineRule="auto"/>
              <w:jc w:val="center"/>
              <w:rPr>
                <w:rFonts w:hint="default" w:ascii="Times New Roman" w:hAnsi="Times New Roman" w:eastAsia="仿宋_GB2312" w:cs="Times New Roman"/>
                <w:bCs/>
                <w:i w:val="0"/>
                <w:iCs w:val="0"/>
                <w:color w:val="auto"/>
                <w:kern w:val="2"/>
                <w:sz w:val="20"/>
                <w:szCs w:val="22"/>
                <w:highlight w:val="none"/>
                <w:lang w:val="en-US" w:eastAsia="zh-CN" w:bidi="ar-SA"/>
              </w:rPr>
            </w:pPr>
            <w:r>
              <w:rPr>
                <w:rFonts w:hint="default" w:ascii="Times New Roman" w:hAnsi="Times New Roman" w:eastAsia="仿宋_GB2312" w:cs="Times New Roman"/>
                <w:bCs/>
                <w:i w:val="0"/>
                <w:iCs w:val="0"/>
                <w:color w:val="auto"/>
                <w:kern w:val="2"/>
                <w:sz w:val="20"/>
                <w:szCs w:val="22"/>
                <w:highlight w:val="none"/>
                <w:lang w:val="en-US" w:eastAsia="zh-CN" w:bidi="ar-SA"/>
              </w:rPr>
              <w:t>设计原则及规范</w:t>
            </w:r>
            <w:r>
              <w:rPr>
                <w:rFonts w:hint="eastAsia" w:ascii="Times New Roman" w:cs="Times New Roman"/>
                <w:bCs/>
                <w:i w:val="0"/>
                <w:iCs w:val="0"/>
                <w:color w:val="auto"/>
                <w:kern w:val="2"/>
                <w:sz w:val="20"/>
                <w:szCs w:val="22"/>
                <w:highlight w:val="none"/>
                <w:lang w:val="en-US" w:eastAsia="zh-CN" w:bidi="ar-SA"/>
              </w:rPr>
              <w:t>（5分）</w:t>
            </w:r>
          </w:p>
        </w:tc>
        <w:tc>
          <w:tcPr>
            <w:tcW w:w="5788" w:type="dxa"/>
            <w:noWrap w:val="0"/>
            <w:vAlign w:val="center"/>
          </w:tcPr>
          <w:p>
            <w:pPr>
              <w:spacing w:line="276" w:lineRule="auto"/>
              <w:rPr>
                <w:rFonts w:hint="eastAsia" w:eastAsia="仿宋_GB2312" w:cs="Times New Roman"/>
                <w:bCs/>
                <w:i w:val="0"/>
                <w:iCs w:val="0"/>
                <w:color w:val="auto"/>
                <w:kern w:val="2"/>
                <w:sz w:val="20"/>
                <w:szCs w:val="22"/>
                <w:highlight w:val="none"/>
                <w:lang w:val="en-US" w:eastAsia="zh-CN" w:bidi="ar-SA"/>
              </w:rPr>
            </w:pPr>
            <w:r>
              <w:rPr>
                <w:rFonts w:hint="default" w:ascii="Times New Roman" w:hAnsi="Times New Roman" w:eastAsia="仿宋_GB2312" w:cs="Times New Roman"/>
                <w:bCs/>
                <w:i w:val="0"/>
                <w:iCs w:val="0"/>
                <w:color w:val="auto"/>
                <w:kern w:val="2"/>
                <w:sz w:val="20"/>
                <w:szCs w:val="22"/>
                <w:highlight w:val="none"/>
                <w:lang w:val="en-US" w:eastAsia="zh-CN" w:bidi="ar-SA"/>
              </w:rPr>
              <w:t>设计方案符合设计原则及规范，按其响应程度由磋商小组进行自主赋分0-5分。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4</w:t>
            </w:r>
          </w:p>
        </w:tc>
        <w:tc>
          <w:tcPr>
            <w:tcW w:w="942" w:type="dxa"/>
            <w:vMerge w:val="continue"/>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确保本项目质量的技术组织措施</w:t>
            </w:r>
            <w:r>
              <w:rPr>
                <w:rFonts w:hint="eastAsia" w:ascii="Times New Roman" w:cs="Times New Roman"/>
                <w:bCs/>
                <w:i w:val="0"/>
                <w:iCs w:val="0"/>
                <w:color w:val="auto"/>
                <w:kern w:val="2"/>
                <w:sz w:val="20"/>
                <w:szCs w:val="22"/>
                <w:highlight w:val="none"/>
                <w:lang w:val="en-US" w:eastAsia="zh-CN" w:bidi="ar-SA"/>
              </w:rPr>
              <w:t>（5分）</w:t>
            </w:r>
          </w:p>
        </w:tc>
        <w:tc>
          <w:tcPr>
            <w:tcW w:w="5788" w:type="dxa"/>
            <w:noWrap w:val="0"/>
            <w:vAlign w:val="center"/>
          </w:tcPr>
          <w:p>
            <w:pPr>
              <w:spacing w:line="276" w:lineRule="auto"/>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确保本项目质量的技术组织措施，按其响应程度由磋商小组进行自主赋分0-5分。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5</w:t>
            </w:r>
          </w:p>
        </w:tc>
        <w:tc>
          <w:tcPr>
            <w:tcW w:w="942" w:type="dxa"/>
            <w:vMerge w:val="continue"/>
            <w:shd w:val="clear" w:color="auto" w:fill="FFFF00"/>
            <w:noWrap w:val="0"/>
            <w:vAlign w:val="center"/>
          </w:tcPr>
          <w:p>
            <w:pPr>
              <w:spacing w:line="276" w:lineRule="auto"/>
              <w:jc w:val="center"/>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shd w:val="clear" w:color="auto" w:fill="auto"/>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确保项目实施进度计划的组织措施（5分）</w:t>
            </w:r>
          </w:p>
        </w:tc>
        <w:tc>
          <w:tcPr>
            <w:tcW w:w="5788" w:type="dxa"/>
            <w:shd w:val="clear" w:color="auto" w:fill="auto"/>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确保项目实施进度计划的组织措施，按其响应程度由磋商小组进行自主赋分0-5分。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6</w:t>
            </w:r>
          </w:p>
        </w:tc>
        <w:tc>
          <w:tcPr>
            <w:tcW w:w="942" w:type="dxa"/>
            <w:vMerge w:val="continue"/>
            <w:shd w:val="clear" w:color="auto" w:fill="FFFF00"/>
            <w:noWrap w:val="0"/>
            <w:vAlign w:val="center"/>
          </w:tcPr>
          <w:p>
            <w:pPr>
              <w:spacing w:line="276" w:lineRule="auto"/>
              <w:jc w:val="both"/>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shd w:val="clear" w:color="auto" w:fill="auto"/>
            <w:noWrap w:val="0"/>
            <w:vAlign w:val="center"/>
          </w:tcPr>
          <w:p>
            <w:pPr>
              <w:spacing w:line="276" w:lineRule="auto"/>
              <w:jc w:val="both"/>
              <w:rPr>
                <w:rFonts w:hint="eastAsia" w:ascii="Times New Roman" w:hAnsi="Times New Roman" w:eastAsia="仿宋_GB2312" w:cs="Times New Roman"/>
                <w:bCs/>
                <w:i w:val="0"/>
                <w:iCs w:val="0"/>
                <w:color w:val="auto"/>
                <w:kern w:val="2"/>
                <w:sz w:val="20"/>
                <w:szCs w:val="22"/>
                <w:highlight w:val="none"/>
                <w:lang w:val="zh-CN"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针对本项目重难点的分析</w:t>
            </w:r>
            <w:r>
              <w:rPr>
                <w:rFonts w:hint="eastAsia" w:ascii="Times New Roman" w:cs="Times New Roman"/>
                <w:bCs/>
                <w:i w:val="0"/>
                <w:iCs w:val="0"/>
                <w:color w:val="auto"/>
                <w:kern w:val="2"/>
                <w:sz w:val="20"/>
                <w:szCs w:val="22"/>
                <w:highlight w:val="none"/>
                <w:lang w:val="en-US" w:eastAsia="zh-CN" w:bidi="ar-SA"/>
              </w:rPr>
              <w:t>（5分）</w:t>
            </w:r>
          </w:p>
        </w:tc>
        <w:tc>
          <w:tcPr>
            <w:tcW w:w="5788" w:type="dxa"/>
            <w:shd w:val="clear" w:color="auto" w:fill="auto"/>
            <w:noWrap w:val="0"/>
            <w:vAlign w:val="center"/>
          </w:tcPr>
          <w:p>
            <w:pPr>
              <w:spacing w:line="276" w:lineRule="auto"/>
              <w:jc w:val="both"/>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有针对本项目重难点的分析、应对措施等按其响应程度由磋商小组进行自主赋分0-5分。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7</w:t>
            </w:r>
          </w:p>
        </w:tc>
        <w:tc>
          <w:tcPr>
            <w:tcW w:w="942" w:type="dxa"/>
            <w:vMerge w:val="continue"/>
            <w:noWrap w:val="0"/>
            <w:vAlign w:val="center"/>
          </w:tcPr>
          <w:p>
            <w:pPr>
              <w:spacing w:line="276" w:lineRule="auto"/>
              <w:jc w:val="center"/>
              <w:rPr>
                <w:rFonts w:hint="eastAsia" w:eastAsia="仿宋_GB2312" w:cs="Times New Roman"/>
                <w:bCs/>
                <w:i w:val="0"/>
                <w:iCs w:val="0"/>
                <w:color w:val="auto"/>
                <w:kern w:val="2"/>
                <w:sz w:val="21"/>
                <w:szCs w:val="24"/>
                <w:highlight w:val="none"/>
                <w:lang w:val="en-US" w:eastAsia="zh-CN" w:bidi="ar-SA"/>
              </w:rPr>
            </w:pPr>
          </w:p>
        </w:tc>
        <w:tc>
          <w:tcPr>
            <w:tcW w:w="1706"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eastAsia="仿宋_GB2312" w:cs="Times New Roman"/>
                <w:bCs/>
                <w:i w:val="0"/>
                <w:iCs w:val="0"/>
                <w:color w:val="auto"/>
                <w:kern w:val="2"/>
                <w:sz w:val="20"/>
                <w:szCs w:val="22"/>
                <w:highlight w:val="none"/>
                <w:lang w:val="en-US" w:eastAsia="zh-CN" w:bidi="ar-SA"/>
              </w:rPr>
              <w:t>拟派设计负责人（</w:t>
            </w:r>
            <w:r>
              <w:rPr>
                <w:rFonts w:hint="eastAsia" w:ascii="Times New Roman" w:cs="Times New Roman"/>
                <w:bCs/>
                <w:i w:val="0"/>
                <w:iCs w:val="0"/>
                <w:color w:val="auto"/>
                <w:kern w:val="2"/>
                <w:sz w:val="20"/>
                <w:szCs w:val="22"/>
                <w:highlight w:val="none"/>
                <w:lang w:val="en-US" w:eastAsia="zh-CN" w:bidi="ar-SA"/>
              </w:rPr>
              <w:t>5分</w:t>
            </w:r>
            <w:r>
              <w:rPr>
                <w:rFonts w:hint="eastAsia" w:eastAsia="仿宋_GB2312" w:cs="Times New Roman"/>
                <w:bCs/>
                <w:i w:val="0"/>
                <w:iCs w:val="0"/>
                <w:color w:val="auto"/>
                <w:kern w:val="2"/>
                <w:sz w:val="20"/>
                <w:szCs w:val="22"/>
                <w:highlight w:val="none"/>
                <w:lang w:val="en-US" w:eastAsia="zh-CN" w:bidi="ar-SA"/>
              </w:rPr>
              <w:t>）</w:t>
            </w:r>
          </w:p>
        </w:tc>
        <w:tc>
          <w:tcPr>
            <w:tcW w:w="5788" w:type="dxa"/>
            <w:noWrap w:val="0"/>
            <w:vAlign w:val="center"/>
          </w:tcPr>
          <w:p>
            <w:pPr>
              <w:spacing w:line="276" w:lineRule="auto"/>
              <w:jc w:val="left"/>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针对拟派项目负责人执业资格、从业年限、工作经历等因素</w:t>
            </w:r>
            <w:r>
              <w:rPr>
                <w:rFonts w:hint="eastAsia" w:eastAsia="仿宋_GB2312" w:cs="Times New Roman"/>
                <w:bCs/>
                <w:i w:val="0"/>
                <w:iCs w:val="0"/>
                <w:color w:val="auto"/>
                <w:kern w:val="2"/>
                <w:sz w:val="20"/>
                <w:szCs w:val="22"/>
                <w:highlight w:val="none"/>
                <w:lang w:val="en-US" w:eastAsia="zh-CN" w:bidi="ar-SA"/>
              </w:rPr>
              <w:t>，按其响应程度由磋商小组进行自主赋分0-5分。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8</w:t>
            </w:r>
          </w:p>
        </w:tc>
        <w:tc>
          <w:tcPr>
            <w:tcW w:w="942" w:type="dxa"/>
            <w:vMerge w:val="continue"/>
            <w:noWrap w:val="0"/>
            <w:vAlign w:val="center"/>
          </w:tcPr>
          <w:p>
            <w:pPr>
              <w:spacing w:line="276" w:lineRule="auto"/>
              <w:jc w:val="center"/>
              <w:rPr>
                <w:rFonts w:hint="eastAsia" w:eastAsia="仿宋_GB2312" w:cs="Times New Roman"/>
                <w:bCs/>
                <w:i w:val="0"/>
                <w:iCs w:val="0"/>
                <w:color w:val="auto"/>
                <w:kern w:val="2"/>
                <w:sz w:val="21"/>
                <w:szCs w:val="24"/>
                <w:highlight w:val="none"/>
                <w:lang w:val="en-US" w:eastAsia="zh-CN" w:bidi="ar-SA"/>
              </w:rPr>
            </w:pPr>
          </w:p>
        </w:tc>
        <w:tc>
          <w:tcPr>
            <w:tcW w:w="1706"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eastAsia="仿宋_GB2312" w:cs="Times New Roman"/>
                <w:bCs/>
                <w:i w:val="0"/>
                <w:iCs w:val="0"/>
                <w:color w:val="auto"/>
                <w:kern w:val="2"/>
                <w:sz w:val="20"/>
                <w:szCs w:val="22"/>
                <w:highlight w:val="none"/>
                <w:lang w:val="en-US" w:eastAsia="zh-CN" w:bidi="ar-SA"/>
              </w:rPr>
              <w:t>拟派人员构成（10分）</w:t>
            </w:r>
          </w:p>
        </w:tc>
        <w:tc>
          <w:tcPr>
            <w:tcW w:w="5788" w:type="dxa"/>
            <w:noWrap w:val="0"/>
            <w:vAlign w:val="top"/>
          </w:tcPr>
          <w:p>
            <w:pPr>
              <w:spacing w:line="276" w:lineRule="auto"/>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根据投入项目组成人员构成数量、专业程度、工作经验</w:t>
            </w:r>
            <w:r>
              <w:rPr>
                <w:rFonts w:hint="eastAsia" w:eastAsia="仿宋_GB2312" w:cs="Times New Roman"/>
                <w:bCs/>
                <w:i w:val="0"/>
                <w:iCs w:val="0"/>
                <w:color w:val="auto"/>
                <w:kern w:val="2"/>
                <w:sz w:val="20"/>
                <w:szCs w:val="22"/>
                <w:highlight w:val="none"/>
                <w:lang w:val="en-US" w:eastAsia="zh-CN" w:bidi="ar-SA"/>
              </w:rPr>
              <w:t>等</w:t>
            </w:r>
            <w:r>
              <w:rPr>
                <w:rFonts w:hint="eastAsia" w:ascii="Times New Roman" w:hAnsi="Times New Roman" w:eastAsia="仿宋_GB2312" w:cs="Times New Roman"/>
                <w:bCs/>
                <w:i w:val="0"/>
                <w:iCs w:val="0"/>
                <w:color w:val="auto"/>
                <w:kern w:val="2"/>
                <w:sz w:val="20"/>
                <w:szCs w:val="22"/>
                <w:highlight w:val="none"/>
                <w:lang w:val="en-US" w:eastAsia="zh-CN" w:bidi="ar-SA"/>
              </w:rPr>
              <w:t>，</w:t>
            </w:r>
            <w:r>
              <w:rPr>
                <w:rFonts w:hint="default" w:ascii="Times New Roman" w:hAnsi="Times New Roman" w:eastAsia="仿宋_GB2312" w:cs="Times New Roman"/>
                <w:bCs/>
                <w:i w:val="0"/>
                <w:iCs w:val="0"/>
                <w:color w:val="auto"/>
                <w:kern w:val="2"/>
                <w:sz w:val="20"/>
                <w:szCs w:val="22"/>
                <w:highlight w:val="none"/>
                <w:lang w:val="en-US" w:eastAsia="zh-CN" w:bidi="ar-SA"/>
              </w:rPr>
              <w:t>按其响应程度由磋商小组进行自主赋分0-</w:t>
            </w:r>
            <w:r>
              <w:rPr>
                <w:rFonts w:hint="eastAsia" w:eastAsia="仿宋_GB2312" w:cs="Times New Roman"/>
                <w:bCs/>
                <w:i w:val="0"/>
                <w:iCs w:val="0"/>
                <w:color w:val="auto"/>
                <w:kern w:val="2"/>
                <w:sz w:val="20"/>
                <w:szCs w:val="22"/>
                <w:highlight w:val="none"/>
                <w:lang w:val="en-US" w:eastAsia="zh-CN" w:bidi="ar-SA"/>
              </w:rPr>
              <w:t>10</w:t>
            </w:r>
            <w:r>
              <w:rPr>
                <w:rFonts w:hint="default" w:ascii="Times New Roman" w:hAnsi="Times New Roman" w:eastAsia="仿宋_GB2312" w:cs="Times New Roman"/>
                <w:bCs/>
                <w:i w:val="0"/>
                <w:iCs w:val="0"/>
                <w:color w:val="auto"/>
                <w:kern w:val="2"/>
                <w:sz w:val="20"/>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10</w:t>
            </w:r>
          </w:p>
        </w:tc>
        <w:tc>
          <w:tcPr>
            <w:tcW w:w="942" w:type="dxa"/>
            <w:vMerge w:val="restart"/>
            <w:noWrap w:val="0"/>
            <w:vAlign w:val="center"/>
          </w:tcPr>
          <w:p>
            <w:pPr>
              <w:pStyle w:val="24"/>
              <w:keepNext w:val="0"/>
              <w:keepLines w:val="0"/>
              <w:pageBreakBefore w:val="0"/>
              <w:shd w:val="clear"/>
              <w:kinsoku/>
              <w:wordWrap/>
              <w:overflowPunct/>
              <w:topLinePunct w:val="0"/>
              <w:autoSpaceDE/>
              <w:autoSpaceDN/>
              <w:bidi w:val="0"/>
              <w:adjustRightInd/>
              <w:snapToGrid/>
              <w:spacing w:line="430" w:lineRule="exact"/>
              <w:jc w:val="center"/>
              <w:textAlignment w:val="auto"/>
              <w:rPr>
                <w:rFonts w:hint="eastAsia" w:ascii="仿宋" w:hAnsi="仿宋" w:eastAsia="仿宋" w:cs="仿宋"/>
                <w:i w:val="0"/>
                <w:iCs w:val="0"/>
                <w:color w:val="auto"/>
                <w:sz w:val="20"/>
                <w:szCs w:val="20"/>
                <w:highlight w:val="none"/>
              </w:rPr>
            </w:pPr>
            <w:r>
              <w:rPr>
                <w:rFonts w:hint="eastAsia" w:ascii="仿宋" w:hAnsi="仿宋" w:eastAsia="仿宋" w:cs="仿宋"/>
                <w:i w:val="0"/>
                <w:iCs w:val="0"/>
                <w:color w:val="auto"/>
                <w:sz w:val="20"/>
                <w:szCs w:val="20"/>
                <w:highlight w:val="none"/>
              </w:rPr>
              <w:t>商务</w:t>
            </w:r>
          </w:p>
          <w:p>
            <w:pPr>
              <w:pStyle w:val="24"/>
              <w:keepNext w:val="0"/>
              <w:keepLines w:val="0"/>
              <w:pageBreakBefore w:val="0"/>
              <w:shd w:val="clear"/>
              <w:kinsoku/>
              <w:wordWrap/>
              <w:overflowPunct/>
              <w:topLinePunct w:val="0"/>
              <w:autoSpaceDE/>
              <w:autoSpaceDN/>
              <w:bidi w:val="0"/>
              <w:adjustRightInd/>
              <w:snapToGrid/>
              <w:spacing w:line="430" w:lineRule="exact"/>
              <w:jc w:val="center"/>
              <w:textAlignment w:val="auto"/>
              <w:rPr>
                <w:rFonts w:hint="eastAsia" w:ascii="仿宋" w:hAnsi="仿宋" w:eastAsia="仿宋" w:cs="仿宋"/>
                <w:i w:val="0"/>
                <w:iCs w:val="0"/>
                <w:color w:val="auto"/>
                <w:sz w:val="20"/>
                <w:szCs w:val="20"/>
                <w:highlight w:val="none"/>
              </w:rPr>
            </w:pPr>
            <w:r>
              <w:rPr>
                <w:rFonts w:hint="eastAsia" w:ascii="仿宋" w:hAnsi="仿宋" w:eastAsia="仿宋" w:cs="仿宋"/>
                <w:i w:val="0"/>
                <w:iCs w:val="0"/>
                <w:color w:val="auto"/>
                <w:sz w:val="20"/>
                <w:szCs w:val="20"/>
                <w:highlight w:val="none"/>
              </w:rPr>
              <w:t>部分</w:t>
            </w:r>
          </w:p>
          <w:p>
            <w:pPr>
              <w:pStyle w:val="24"/>
              <w:keepNext w:val="0"/>
              <w:keepLines w:val="0"/>
              <w:pageBreakBefore w:val="0"/>
              <w:shd w:val="clear"/>
              <w:kinsoku/>
              <w:wordWrap/>
              <w:overflowPunct/>
              <w:topLinePunct w:val="0"/>
              <w:autoSpaceDE/>
              <w:autoSpaceDN/>
              <w:bidi w:val="0"/>
              <w:adjustRightInd/>
              <w:snapToGrid/>
              <w:spacing w:line="430" w:lineRule="exact"/>
              <w:jc w:val="center"/>
              <w:textAlignment w:val="auto"/>
              <w:rPr>
                <w:rFonts w:hint="eastAsia" w:ascii="仿宋" w:hAnsi="仿宋" w:eastAsia="仿宋" w:cs="仿宋"/>
                <w:i w:val="0"/>
                <w:iCs w:val="0"/>
                <w:color w:val="auto"/>
                <w:sz w:val="20"/>
                <w:szCs w:val="20"/>
                <w:highlight w:val="yellow"/>
              </w:rPr>
            </w:pPr>
            <w:r>
              <w:rPr>
                <w:rFonts w:hint="eastAsia" w:ascii="仿宋" w:hAnsi="仿宋" w:eastAsia="仿宋" w:cs="仿宋"/>
                <w:i w:val="0"/>
                <w:iCs w:val="0"/>
                <w:color w:val="auto"/>
                <w:sz w:val="20"/>
                <w:szCs w:val="20"/>
                <w:highlight w:val="none"/>
                <w:lang w:eastAsia="zh-CN"/>
              </w:rPr>
              <w:t>（</w:t>
            </w:r>
            <w:r>
              <w:rPr>
                <w:rFonts w:hint="eastAsia" w:ascii="仿宋" w:hAnsi="仿宋" w:eastAsia="仿宋" w:cs="仿宋"/>
                <w:i w:val="0"/>
                <w:iCs w:val="0"/>
                <w:color w:val="auto"/>
                <w:sz w:val="20"/>
                <w:szCs w:val="20"/>
                <w:highlight w:val="none"/>
                <w:lang w:val="en-US" w:eastAsia="zh-CN"/>
              </w:rPr>
              <w:t>25分</w:t>
            </w:r>
            <w:r>
              <w:rPr>
                <w:rFonts w:hint="eastAsia" w:ascii="仿宋" w:hAnsi="仿宋" w:eastAsia="仿宋" w:cs="仿宋"/>
                <w:i w:val="0"/>
                <w:iCs w:val="0"/>
                <w:color w:val="auto"/>
                <w:sz w:val="20"/>
                <w:szCs w:val="20"/>
                <w:highlight w:val="none"/>
                <w:lang w:eastAsia="zh-CN"/>
              </w:rPr>
              <w:t>）</w:t>
            </w:r>
          </w:p>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p>
        </w:tc>
        <w:tc>
          <w:tcPr>
            <w:tcW w:w="1706" w:type="dxa"/>
            <w:noWrap w:val="0"/>
            <w:vAlign w:val="center"/>
          </w:tcPr>
          <w:p>
            <w:pPr>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业绩（</w:t>
            </w:r>
            <w:r>
              <w:rPr>
                <w:rFonts w:hint="default" w:eastAsia="仿宋_GB2312" w:cs="Times New Roman"/>
                <w:bCs/>
                <w:i w:val="0"/>
                <w:iCs w:val="0"/>
                <w:color w:val="auto"/>
                <w:kern w:val="2"/>
                <w:sz w:val="20"/>
                <w:szCs w:val="22"/>
                <w:highlight w:val="none"/>
                <w:lang w:val="en-US" w:eastAsia="zh-CN" w:bidi="ar-SA"/>
              </w:rPr>
              <w:t>10</w:t>
            </w:r>
            <w:r>
              <w:rPr>
                <w:rFonts w:hint="eastAsia" w:ascii="Times New Roman" w:hAnsi="Times New Roman" w:eastAsia="仿宋_GB2312" w:cs="Times New Roman"/>
                <w:bCs/>
                <w:i w:val="0"/>
                <w:iCs w:val="0"/>
                <w:color w:val="auto"/>
                <w:kern w:val="2"/>
                <w:sz w:val="20"/>
                <w:szCs w:val="22"/>
                <w:highlight w:val="none"/>
                <w:lang w:val="en-US" w:eastAsia="zh-CN" w:bidi="ar-SA"/>
              </w:rPr>
              <w:t>分）</w:t>
            </w:r>
          </w:p>
        </w:tc>
        <w:tc>
          <w:tcPr>
            <w:tcW w:w="5788" w:type="dxa"/>
            <w:noWrap w:val="0"/>
            <w:vAlign w:val="top"/>
          </w:tcPr>
          <w:p>
            <w:pPr>
              <w:spacing w:line="276" w:lineRule="auto"/>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供应商提供的20</w:t>
            </w:r>
            <w:r>
              <w:rPr>
                <w:rFonts w:hint="eastAsia" w:eastAsia="仿宋_GB2312" w:cs="Times New Roman"/>
                <w:bCs/>
                <w:i w:val="0"/>
                <w:iCs w:val="0"/>
                <w:color w:val="auto"/>
                <w:kern w:val="2"/>
                <w:sz w:val="20"/>
                <w:szCs w:val="22"/>
                <w:highlight w:val="none"/>
                <w:lang w:val="en-US" w:eastAsia="zh-CN" w:bidi="ar-SA"/>
              </w:rPr>
              <w:t>21</w:t>
            </w:r>
            <w:r>
              <w:rPr>
                <w:rFonts w:hint="eastAsia" w:ascii="Times New Roman" w:hAnsi="Times New Roman" w:eastAsia="仿宋_GB2312" w:cs="Times New Roman"/>
                <w:bCs/>
                <w:i w:val="0"/>
                <w:iCs w:val="0"/>
                <w:color w:val="auto"/>
                <w:kern w:val="2"/>
                <w:sz w:val="20"/>
                <w:szCs w:val="22"/>
                <w:highlight w:val="none"/>
                <w:lang w:val="en-US" w:eastAsia="zh-CN" w:bidi="ar-SA"/>
              </w:rPr>
              <w:t>年</w:t>
            </w:r>
            <w:r>
              <w:rPr>
                <w:rFonts w:hint="eastAsia" w:eastAsia="仿宋_GB2312" w:cs="Times New Roman"/>
                <w:bCs/>
                <w:i w:val="0"/>
                <w:iCs w:val="0"/>
                <w:color w:val="auto"/>
                <w:kern w:val="2"/>
                <w:sz w:val="20"/>
                <w:szCs w:val="22"/>
                <w:highlight w:val="none"/>
                <w:lang w:val="en-US" w:eastAsia="zh-CN" w:bidi="ar-SA"/>
              </w:rPr>
              <w:t>01</w:t>
            </w:r>
            <w:r>
              <w:rPr>
                <w:rFonts w:hint="eastAsia" w:ascii="Times New Roman" w:hAnsi="Times New Roman" w:eastAsia="仿宋_GB2312" w:cs="Times New Roman"/>
                <w:bCs/>
                <w:i w:val="0"/>
                <w:iCs w:val="0"/>
                <w:color w:val="auto"/>
                <w:kern w:val="2"/>
                <w:sz w:val="20"/>
                <w:szCs w:val="22"/>
                <w:highlight w:val="none"/>
                <w:lang w:val="en-US" w:eastAsia="zh-CN" w:bidi="ar-SA"/>
              </w:rPr>
              <w:t>月</w:t>
            </w:r>
            <w:r>
              <w:rPr>
                <w:rFonts w:hint="eastAsia" w:eastAsia="仿宋_GB2312" w:cs="Times New Roman"/>
                <w:bCs/>
                <w:i w:val="0"/>
                <w:iCs w:val="0"/>
                <w:color w:val="auto"/>
                <w:kern w:val="2"/>
                <w:sz w:val="20"/>
                <w:szCs w:val="22"/>
                <w:highlight w:val="none"/>
                <w:lang w:val="en-US" w:eastAsia="zh-CN" w:bidi="ar-SA"/>
              </w:rPr>
              <w:t>0</w:t>
            </w:r>
            <w:r>
              <w:rPr>
                <w:rFonts w:hint="eastAsia" w:ascii="Times New Roman" w:hAnsi="Times New Roman" w:eastAsia="仿宋_GB2312" w:cs="Times New Roman"/>
                <w:bCs/>
                <w:i w:val="0"/>
                <w:iCs w:val="0"/>
                <w:color w:val="auto"/>
                <w:kern w:val="2"/>
                <w:sz w:val="20"/>
                <w:szCs w:val="22"/>
                <w:highlight w:val="none"/>
                <w:lang w:val="en-US" w:eastAsia="zh-CN" w:bidi="ar-SA"/>
              </w:rPr>
              <w:t>1日至今（以合同签订时间为准）类似项目业绩合同，每份计</w:t>
            </w:r>
            <w:r>
              <w:rPr>
                <w:rFonts w:hint="eastAsia" w:eastAsia="仿宋_GB2312" w:cs="Times New Roman"/>
                <w:bCs/>
                <w:i w:val="0"/>
                <w:iCs w:val="0"/>
                <w:color w:val="auto"/>
                <w:kern w:val="2"/>
                <w:sz w:val="20"/>
                <w:szCs w:val="22"/>
                <w:highlight w:val="none"/>
                <w:lang w:val="en-US" w:eastAsia="zh-CN" w:bidi="ar-SA"/>
              </w:rPr>
              <w:t>2</w:t>
            </w:r>
            <w:r>
              <w:rPr>
                <w:rFonts w:hint="eastAsia" w:ascii="Times New Roman" w:hAnsi="Times New Roman" w:eastAsia="仿宋_GB2312" w:cs="Times New Roman"/>
                <w:bCs/>
                <w:i w:val="0"/>
                <w:iCs w:val="0"/>
                <w:color w:val="auto"/>
                <w:kern w:val="2"/>
                <w:sz w:val="20"/>
                <w:szCs w:val="22"/>
                <w:highlight w:val="none"/>
                <w:lang w:val="en-US" w:eastAsia="zh-CN" w:bidi="ar-SA"/>
              </w:rPr>
              <w:t>分；满分</w:t>
            </w:r>
            <w:r>
              <w:rPr>
                <w:rFonts w:hint="default" w:eastAsia="仿宋_GB2312" w:cs="Times New Roman"/>
                <w:bCs/>
                <w:i w:val="0"/>
                <w:iCs w:val="0"/>
                <w:color w:val="auto"/>
                <w:kern w:val="2"/>
                <w:sz w:val="20"/>
                <w:szCs w:val="22"/>
                <w:highlight w:val="none"/>
                <w:lang w:val="en-US" w:eastAsia="zh-CN" w:bidi="ar-SA"/>
              </w:rPr>
              <w:t>10</w:t>
            </w:r>
            <w:r>
              <w:rPr>
                <w:rFonts w:hint="eastAsia" w:ascii="Times New Roman" w:hAnsi="Times New Roman" w:eastAsia="仿宋_GB2312" w:cs="Times New Roman"/>
                <w:bCs/>
                <w:i w:val="0"/>
                <w:iCs w:val="0"/>
                <w:color w:val="auto"/>
                <w:kern w:val="2"/>
                <w:sz w:val="20"/>
                <w:szCs w:val="22"/>
                <w:highlight w:val="none"/>
                <w:lang w:val="en-US" w:eastAsia="zh-CN" w:bidi="ar-SA"/>
              </w:rPr>
              <w:t>分</w:t>
            </w:r>
            <w:r>
              <w:rPr>
                <w:rFonts w:hint="eastAsia" w:eastAsia="仿宋_GB2312" w:cs="Times New Roman"/>
                <w:bCs/>
                <w:i w:val="0"/>
                <w:iCs w:val="0"/>
                <w:color w:val="auto"/>
                <w:kern w:val="2"/>
                <w:sz w:val="20"/>
                <w:szCs w:val="22"/>
                <w:highlight w:val="none"/>
                <w:lang w:val="en-US" w:eastAsia="zh-CN" w:bidi="ar-SA"/>
              </w:rPr>
              <w:t>，（提供合同或中标通知书复印件或扫描件，并加盖单位公章）</w:t>
            </w:r>
            <w:r>
              <w:rPr>
                <w:rFonts w:hint="eastAsia" w:ascii="Times New Roman" w:hAnsi="Times New Roman" w:eastAsia="仿宋_GB2312" w:cs="Times New Roman"/>
                <w:bCs/>
                <w:i w:val="0"/>
                <w:iCs w:val="0"/>
                <w:color w:val="auto"/>
                <w:kern w:val="2"/>
                <w:sz w:val="20"/>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2" w:type="dxa"/>
            <w:noWrap w:val="0"/>
            <w:vAlign w:val="center"/>
          </w:tcPr>
          <w:p>
            <w:pPr>
              <w:spacing w:line="276" w:lineRule="auto"/>
              <w:jc w:val="center"/>
              <w:rPr>
                <w:rFonts w:hint="default" w:eastAsia="仿宋_GB2312" w:cs="Times New Roman"/>
                <w:i w:val="0"/>
                <w:iCs w:val="0"/>
                <w:color w:val="auto"/>
                <w:highlight w:val="none"/>
                <w:lang w:val="en-US" w:eastAsia="zh-CN"/>
              </w:rPr>
            </w:pPr>
            <w:r>
              <w:rPr>
                <w:rFonts w:hint="eastAsia" w:eastAsia="仿宋_GB2312" w:cs="Times New Roman"/>
                <w:i w:val="0"/>
                <w:iCs w:val="0"/>
                <w:color w:val="auto"/>
                <w:highlight w:val="none"/>
                <w:lang w:val="en-US" w:eastAsia="zh-CN"/>
              </w:rPr>
              <w:t>11</w:t>
            </w:r>
          </w:p>
        </w:tc>
        <w:tc>
          <w:tcPr>
            <w:tcW w:w="942" w:type="dxa"/>
            <w:vMerge w:val="continue"/>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1"/>
                <w:szCs w:val="24"/>
                <w:highlight w:val="none"/>
                <w:lang w:val="en-US" w:eastAsia="zh-CN" w:bidi="ar-SA"/>
              </w:rPr>
            </w:pPr>
          </w:p>
        </w:tc>
        <w:tc>
          <w:tcPr>
            <w:tcW w:w="1706" w:type="dxa"/>
            <w:noWrap w:val="0"/>
            <w:vAlign w:val="center"/>
          </w:tcPr>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商务响应</w:t>
            </w:r>
          </w:p>
          <w:p>
            <w:pPr>
              <w:pStyle w:val="301"/>
              <w:spacing w:line="276" w:lineRule="auto"/>
              <w:jc w:val="center"/>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w:t>
            </w:r>
            <w:r>
              <w:rPr>
                <w:rFonts w:hint="eastAsia" w:ascii="Times New Roman" w:cs="Times New Roman"/>
                <w:bCs/>
                <w:i w:val="0"/>
                <w:iCs w:val="0"/>
                <w:color w:val="auto"/>
                <w:kern w:val="2"/>
                <w:sz w:val="20"/>
                <w:szCs w:val="22"/>
                <w:highlight w:val="none"/>
                <w:lang w:val="en-US" w:eastAsia="zh-CN" w:bidi="ar-SA"/>
              </w:rPr>
              <w:t>15</w:t>
            </w:r>
            <w:r>
              <w:rPr>
                <w:rFonts w:hint="eastAsia" w:ascii="Times New Roman" w:hAnsi="Times New Roman" w:eastAsia="仿宋_GB2312" w:cs="Times New Roman"/>
                <w:bCs/>
                <w:i w:val="0"/>
                <w:iCs w:val="0"/>
                <w:color w:val="auto"/>
                <w:kern w:val="2"/>
                <w:sz w:val="20"/>
                <w:szCs w:val="22"/>
                <w:highlight w:val="none"/>
                <w:lang w:val="en-US" w:eastAsia="zh-CN" w:bidi="ar-SA"/>
              </w:rPr>
              <w:t>分）</w:t>
            </w:r>
          </w:p>
        </w:tc>
        <w:tc>
          <w:tcPr>
            <w:tcW w:w="5788" w:type="dxa"/>
            <w:noWrap w:val="0"/>
            <w:vAlign w:val="center"/>
          </w:tcPr>
          <w:p>
            <w:pPr>
              <w:pStyle w:val="301"/>
              <w:spacing w:line="276" w:lineRule="auto"/>
              <w:jc w:val="both"/>
              <w:rPr>
                <w:rFonts w:hint="eastAsia" w:ascii="Times New Roman" w:hAnsi="Times New Roman"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1.合同草案条款（5分）：经过资格审查合格的供应商，磋商响应文件中对付款、验收、服务保证等方面进行响应说明，</w:t>
            </w:r>
            <w:r>
              <w:rPr>
                <w:rFonts w:hint="eastAsia" w:eastAsia="仿宋_GB2312" w:cs="Times New Roman"/>
                <w:bCs/>
                <w:i w:val="0"/>
                <w:iCs w:val="0"/>
                <w:color w:val="auto"/>
                <w:kern w:val="2"/>
                <w:sz w:val="20"/>
                <w:szCs w:val="22"/>
                <w:highlight w:val="none"/>
                <w:lang w:val="en-US" w:eastAsia="zh-CN" w:bidi="ar-SA"/>
              </w:rPr>
              <w:t>按其响应程度</w:t>
            </w:r>
            <w:r>
              <w:rPr>
                <w:rFonts w:hint="eastAsia" w:ascii="Times New Roman" w:hAnsi="Times New Roman" w:eastAsia="仿宋_GB2312" w:cs="Times New Roman"/>
                <w:bCs/>
                <w:i w:val="0"/>
                <w:iCs w:val="0"/>
                <w:color w:val="auto"/>
                <w:kern w:val="2"/>
                <w:sz w:val="20"/>
                <w:szCs w:val="22"/>
                <w:highlight w:val="none"/>
                <w:lang w:val="en-US" w:eastAsia="zh-CN" w:bidi="ar-SA"/>
              </w:rPr>
              <w:t>由磋商小组进行自主赋分0-5分。</w:t>
            </w:r>
          </w:p>
          <w:p>
            <w:pPr>
              <w:pStyle w:val="24"/>
              <w:spacing w:line="240" w:lineRule="auto"/>
              <w:rPr>
                <w:rFonts w:hint="eastAsia" w:ascii="Times New Roman" w:hAnsi="Times New Roman" w:eastAsia="仿宋_GB2312" w:cs="Times New Roman"/>
                <w:bCs/>
                <w:i w:val="0"/>
                <w:iCs w:val="0"/>
                <w:color w:val="auto"/>
                <w:kern w:val="2"/>
                <w:sz w:val="20"/>
                <w:szCs w:val="22"/>
                <w:highlight w:val="none"/>
                <w:lang w:val="zh-CN"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2.服务承诺（5分）：供应商针对本项目有明确的服务承诺，按其响应程度由磋商小组进行自主赋分0-5分。</w:t>
            </w:r>
          </w:p>
          <w:p>
            <w:pPr>
              <w:spacing w:line="240" w:lineRule="auto"/>
              <w:jc w:val="both"/>
              <w:rPr>
                <w:rFonts w:hint="eastAsia" w:eastAsia="仿宋_GB2312" w:cs="Times New Roman"/>
                <w:bCs/>
                <w:i w:val="0"/>
                <w:iCs w:val="0"/>
                <w:color w:val="auto"/>
                <w:kern w:val="2"/>
                <w:sz w:val="20"/>
                <w:szCs w:val="22"/>
                <w:highlight w:val="none"/>
                <w:lang w:val="en-US" w:eastAsia="zh-CN" w:bidi="ar-SA"/>
              </w:rPr>
            </w:pPr>
            <w:r>
              <w:rPr>
                <w:rFonts w:hint="eastAsia" w:ascii="Times New Roman" w:hAnsi="Times New Roman" w:eastAsia="仿宋_GB2312" w:cs="Times New Roman"/>
                <w:bCs/>
                <w:i w:val="0"/>
                <w:iCs w:val="0"/>
                <w:color w:val="auto"/>
                <w:kern w:val="2"/>
                <w:sz w:val="20"/>
                <w:szCs w:val="22"/>
                <w:highlight w:val="none"/>
                <w:lang w:val="en-US" w:eastAsia="zh-CN" w:bidi="ar-SA"/>
              </w:rPr>
              <w:t>3.合理化建议（5分）：供应商针对本项目提出合理化建议，从积极意义、可行性、合理性等方面综合评比，按其响应程度由磋商小组进行自主赋分0-5分。</w:t>
            </w:r>
          </w:p>
        </w:tc>
      </w:tr>
      <w:bookmarkEnd w:id="406"/>
    </w:tbl>
    <w:p>
      <w:pPr>
        <w:jc w:val="center"/>
        <w:rPr>
          <w:rFonts w:hint="default" w:ascii="Times New Roman" w:hAnsi="Times New Roman" w:eastAsia="仿宋_GB2312" w:cs="Times New Roman"/>
          <w:b/>
          <w:i w:val="0"/>
          <w:iCs w:val="0"/>
          <w:color w:val="auto"/>
          <w:sz w:val="30"/>
          <w:szCs w:val="30"/>
          <w:highlight w:val="none"/>
        </w:rPr>
      </w:pPr>
    </w:p>
    <w:bookmarkEnd w:id="403"/>
    <w:bookmarkEnd w:id="404"/>
    <w:bookmarkEnd w:id="405"/>
    <w:p>
      <w:pPr>
        <w:jc w:val="center"/>
        <w:rPr>
          <w:rFonts w:hint="default" w:ascii="Times New Roman" w:hAnsi="Times New Roman" w:eastAsia="仿宋_GB2312" w:cs="Times New Roman"/>
          <w:b/>
          <w:i w:val="0"/>
          <w:iCs w:val="0"/>
          <w:color w:val="auto"/>
          <w:kern w:val="0"/>
          <w:sz w:val="30"/>
          <w:szCs w:val="30"/>
          <w:highlight w:val="none"/>
        </w:rPr>
      </w:pPr>
      <w:r>
        <w:rPr>
          <w:rFonts w:hint="default" w:ascii="Times New Roman" w:hAnsi="Times New Roman" w:eastAsia="仿宋_GB2312" w:cs="Times New Roman"/>
          <w:i w:val="0"/>
          <w:iCs w:val="0"/>
          <w:color w:val="auto"/>
          <w:szCs w:val="21"/>
          <w:highlight w:val="none"/>
        </w:rPr>
        <w:br w:type="page"/>
      </w:r>
    </w:p>
    <w:p>
      <w:pPr>
        <w:pStyle w:val="46"/>
        <w:spacing w:line="360" w:lineRule="auto"/>
        <w:rPr>
          <w:rStyle w:val="208"/>
          <w:rFonts w:hint="eastAsia" w:ascii="仿宋" w:hAnsi="仿宋" w:eastAsia="仿宋" w:cs="仿宋"/>
          <w:i w:val="0"/>
          <w:iCs w:val="0"/>
          <w:color w:val="auto"/>
          <w:sz w:val="32"/>
          <w:szCs w:val="32"/>
          <w:highlight w:val="none"/>
        </w:rPr>
      </w:pPr>
      <w:bookmarkStart w:id="407" w:name="_Toc22711"/>
      <w:r>
        <w:rPr>
          <w:rStyle w:val="208"/>
          <w:rFonts w:hint="eastAsia" w:ascii="仿宋" w:hAnsi="仿宋" w:eastAsia="仿宋" w:cs="仿宋"/>
          <w:i w:val="0"/>
          <w:iCs w:val="0"/>
          <w:color w:val="auto"/>
          <w:sz w:val="32"/>
          <w:szCs w:val="32"/>
          <w:highlight w:val="none"/>
        </w:rPr>
        <w:t xml:space="preserve">第四章  </w:t>
      </w:r>
      <w:bookmarkEnd w:id="19"/>
      <w:bookmarkEnd w:id="388"/>
      <w:bookmarkEnd w:id="389"/>
      <w:bookmarkStart w:id="408" w:name="_Toc500747233"/>
      <w:bookmarkStart w:id="409" w:name="_Toc230583552"/>
      <w:bookmarkStart w:id="410" w:name="_Toc230013638"/>
      <w:bookmarkStart w:id="411" w:name="_Toc256342152"/>
      <w:bookmarkStart w:id="412" w:name="_Toc249515369"/>
      <w:bookmarkStart w:id="413" w:name="_Toc53722865"/>
      <w:bookmarkStart w:id="414" w:name="_Toc232176282"/>
      <w:bookmarkStart w:id="415" w:name="_Toc499711928"/>
      <w:bookmarkStart w:id="416" w:name="_Toc500747010"/>
      <w:bookmarkStart w:id="417" w:name="_Toc492955459"/>
      <w:bookmarkStart w:id="418" w:name="_Toc177189245"/>
      <w:bookmarkStart w:id="419" w:name="_Toc503063458"/>
      <w:bookmarkStart w:id="420" w:name="_Toc499711087"/>
      <w:bookmarkStart w:id="421" w:name="_Toc177817344"/>
      <w:bookmarkStart w:id="422" w:name="_Toc232395222"/>
      <w:bookmarkStart w:id="423" w:name="_Toc28450"/>
      <w:bookmarkStart w:id="424" w:name="_Toc249525250"/>
      <w:bookmarkStart w:id="425" w:name="_Toc184043058"/>
      <w:bookmarkStart w:id="426" w:name="_Toc500747106"/>
      <w:bookmarkStart w:id="427" w:name="_Toc176882552"/>
      <w:bookmarkStart w:id="428" w:name="_Toc249515482"/>
      <w:bookmarkStart w:id="429" w:name="_Toc230099803"/>
      <w:bookmarkStart w:id="430" w:name="_Toc415499897"/>
      <w:bookmarkStart w:id="431" w:name="_Toc496324623"/>
      <w:bookmarkStart w:id="432" w:name="_Toc70687202"/>
      <w:bookmarkStart w:id="433" w:name="_Toc177995483"/>
      <w:r>
        <w:rPr>
          <w:rStyle w:val="208"/>
          <w:rFonts w:hint="eastAsia" w:ascii="仿宋" w:hAnsi="仿宋" w:eastAsia="仿宋" w:cs="仿宋"/>
          <w:i w:val="0"/>
          <w:iCs w:val="0"/>
          <w:color w:val="auto"/>
          <w:sz w:val="32"/>
          <w:szCs w:val="32"/>
          <w:highlight w:val="none"/>
        </w:rPr>
        <w:t>拟签订的合同文本</w:t>
      </w:r>
      <w:bookmarkEnd w:id="407"/>
    </w:p>
    <w:p>
      <w:pPr>
        <w:tabs>
          <w:tab w:val="left" w:pos="735"/>
        </w:tabs>
        <w:autoSpaceDE w:val="0"/>
        <w:autoSpaceDN w:val="0"/>
        <w:adjustRightInd w:val="0"/>
        <w:snapToGrid w:val="0"/>
        <w:spacing w:before="240" w:beforeLines="100" w:line="360" w:lineRule="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甲方：</w:t>
      </w:r>
      <w:r>
        <w:rPr>
          <w:rFonts w:hint="eastAsia" w:ascii="仿宋" w:hAnsi="仿宋" w:eastAsia="仿宋" w:cs="仿宋"/>
          <w:bCs/>
          <w:color w:val="auto"/>
          <w:sz w:val="21"/>
          <w:szCs w:val="21"/>
          <w:highlight w:val="none"/>
          <w:lang w:val="zh-CN"/>
        </w:rPr>
        <w:t xml:space="preserve">（前款所称采购人）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zh-CN"/>
        </w:rPr>
        <w:t>住所：</w:t>
      </w:r>
    </w:p>
    <w:p>
      <w:pPr>
        <w:adjustRightInd w:val="0"/>
        <w:snapToGrid w:val="0"/>
        <w:spacing w:line="360" w:lineRule="auto"/>
        <w:ind w:firstLine="422"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zh-CN"/>
        </w:rPr>
        <w:t>乙方：</w:t>
      </w:r>
      <w:r>
        <w:rPr>
          <w:rFonts w:hint="eastAsia" w:ascii="仿宋" w:hAnsi="仿宋" w:eastAsia="仿宋" w:cs="仿宋"/>
          <w:bCs/>
          <w:color w:val="auto"/>
          <w:sz w:val="21"/>
          <w:szCs w:val="21"/>
          <w:highlight w:val="none"/>
          <w:lang w:val="zh-CN"/>
        </w:rPr>
        <w:t>（前款所称</w:t>
      </w:r>
      <w:r>
        <w:rPr>
          <w:rFonts w:hint="eastAsia" w:ascii="仿宋" w:hAnsi="仿宋" w:eastAsia="仿宋" w:cs="仿宋"/>
          <w:bCs/>
          <w:color w:val="auto"/>
          <w:sz w:val="21"/>
          <w:szCs w:val="21"/>
          <w:highlight w:val="none"/>
        </w:rPr>
        <w:t>成交供应商</w:t>
      </w:r>
      <w:r>
        <w:rPr>
          <w:rFonts w:hint="eastAsia" w:ascii="仿宋" w:hAnsi="仿宋" w:eastAsia="仿宋" w:cs="仿宋"/>
          <w:bCs/>
          <w:color w:val="auto"/>
          <w:sz w:val="21"/>
          <w:szCs w:val="21"/>
          <w:highlight w:val="none"/>
          <w:lang w:val="zh-CN"/>
        </w:rPr>
        <w:t>）     住所：</w:t>
      </w:r>
      <w:r>
        <w:rPr>
          <w:rFonts w:hint="eastAsia" w:ascii="仿宋" w:hAnsi="仿宋" w:eastAsia="仿宋" w:cs="仿宋"/>
          <w:i w:val="0"/>
          <w:iCs w:val="0"/>
          <w:color w:val="auto"/>
          <w:kern w:val="0"/>
          <w:sz w:val="21"/>
          <w:szCs w:val="21"/>
          <w:highlight w:val="none"/>
          <w:lang w:val="en-US" w:eastAsia="zh-CN"/>
        </w:rPr>
        <w:t>规划设计时应统一考虑院区地块内已建设部分、即将建设部分及本次规划设计部分，并满足陕西省西咸新区沣西新城相应地块规划条件。</w:t>
      </w:r>
    </w:p>
    <w:p>
      <w:pPr>
        <w:tabs>
          <w:tab w:val="left" w:pos="735"/>
        </w:tabs>
        <w:autoSpaceDE w:val="0"/>
        <w:autoSpaceDN w:val="0"/>
        <w:adjustRightInd w:val="0"/>
        <w:snapToGrid w:val="0"/>
        <w:spacing w:line="360" w:lineRule="auto"/>
        <w:rPr>
          <w:rFonts w:hint="eastAsia" w:ascii="仿宋" w:hAnsi="仿宋" w:eastAsia="仿宋" w:cs="仿宋"/>
          <w:bCs/>
          <w:color w:val="auto"/>
          <w:sz w:val="21"/>
          <w:szCs w:val="21"/>
          <w:highlight w:val="none"/>
          <w:lang w:val="zh-CN"/>
        </w:rPr>
      </w:pP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4" w:name="_Toc19515384"/>
      <w:r>
        <w:rPr>
          <w:rFonts w:hint="eastAsia" w:ascii="仿宋" w:hAnsi="仿宋" w:eastAsia="仿宋" w:cs="仿宋"/>
          <w:color w:val="auto"/>
          <w:sz w:val="21"/>
          <w:szCs w:val="21"/>
          <w:highlight w:val="none"/>
        </w:rPr>
        <w:t>一、合同内容（标的、数量、质量等）:</w:t>
      </w:r>
      <w:bookmarkEnd w:id="434"/>
      <w:r>
        <w:rPr>
          <w:rFonts w:hint="eastAsia" w:ascii="仿宋" w:hAnsi="仿宋" w:eastAsia="仿宋" w:cs="仿宋"/>
          <w:i w:val="0"/>
          <w:iCs w:val="0"/>
          <w:color w:val="auto"/>
          <w:kern w:val="0"/>
          <w:sz w:val="21"/>
          <w:szCs w:val="21"/>
          <w:highlight w:val="none"/>
          <w:lang w:val="en-US" w:eastAsia="zh-CN"/>
        </w:rPr>
        <w:t>迁建医院项目西侧二期预留土地面积约49.7亩，占地面积约为3.3万㎡，现需对该区域重新进行规划设计，设计范围包括但不限于：教学区域总平面规划方案设计、配套建筑设计、</w:t>
      </w:r>
      <w:r>
        <w:rPr>
          <w:rFonts w:hint="eastAsia" w:ascii="仿宋" w:hAnsi="仿宋" w:eastAsia="仿宋" w:cs="仿宋"/>
          <w:i w:val="0"/>
          <w:iCs w:val="0"/>
          <w:color w:val="auto"/>
          <w:kern w:val="0"/>
          <w:sz w:val="21"/>
          <w:szCs w:val="21"/>
          <w:highlight w:val="none"/>
          <w:lang w:val="en-US" w:eastAsia="zh-CN" w:bidi="ar-SA"/>
        </w:rPr>
        <w:t>景观规划（含海绵城市规划）</w:t>
      </w:r>
      <w:r>
        <w:rPr>
          <w:rFonts w:hint="eastAsia" w:ascii="仿宋" w:hAnsi="仿宋" w:eastAsia="仿宋" w:cs="仿宋"/>
          <w:i w:val="0"/>
          <w:iCs w:val="0"/>
          <w:color w:val="auto"/>
          <w:kern w:val="0"/>
          <w:sz w:val="21"/>
          <w:szCs w:val="21"/>
          <w:highlight w:val="none"/>
          <w:lang w:val="en-US" w:eastAsia="zh-CN"/>
        </w:rPr>
        <w:t>、室外环境设施、交通规划设计等。</w:t>
      </w:r>
      <w:bookmarkStart w:id="435" w:name="_Toc19515385"/>
      <w:r>
        <w:rPr>
          <w:rFonts w:hint="eastAsia" w:ascii="仿宋" w:hAnsi="仿宋" w:eastAsia="仿宋" w:cs="仿宋"/>
          <w:color w:val="auto"/>
          <w:sz w:val="21"/>
          <w:szCs w:val="21"/>
          <w:highlight w:val="none"/>
        </w:rPr>
        <w:t>二、合同价款</w:t>
      </w:r>
      <w:bookmarkEnd w:id="435"/>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1、合同总价：</w:t>
      </w:r>
    </w:p>
    <w:p>
      <w:pPr>
        <w:adjustRightInd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2、合同总价包括：</w:t>
      </w:r>
      <w:r>
        <w:rPr>
          <w:rFonts w:hint="eastAsia" w:ascii="仿宋" w:hAnsi="仿宋" w:eastAsia="仿宋" w:cs="仿宋"/>
          <w:color w:val="auto"/>
          <w:sz w:val="21"/>
          <w:szCs w:val="21"/>
          <w:highlight w:val="none"/>
          <w:lang w:val="en-US" w:eastAsia="zh-CN"/>
        </w:rPr>
        <w:t>完成本项目规划设计的所有费用</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3、合同为固定总价合同，不受市场价变化的影响。</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6" w:name="_Toc19515386"/>
      <w:r>
        <w:rPr>
          <w:rFonts w:hint="eastAsia" w:ascii="仿宋" w:hAnsi="仿宋" w:eastAsia="仿宋" w:cs="仿宋"/>
          <w:color w:val="auto"/>
          <w:sz w:val="21"/>
          <w:szCs w:val="21"/>
          <w:highlight w:val="none"/>
        </w:rPr>
        <w:t>三、合同结算</w:t>
      </w:r>
      <w:bookmarkEnd w:id="436"/>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1、付款比例：</w:t>
      </w:r>
    </w:p>
    <w:p>
      <w:pPr>
        <w:spacing w:line="360" w:lineRule="auto"/>
        <w:ind w:firstLine="420" w:firstLineChars="200"/>
        <w:rPr>
          <w:rFonts w:hint="eastAsia" w:ascii="仿宋" w:hAnsi="仿宋" w:eastAsia="仿宋" w:cs="仿宋"/>
          <w:color w:val="FFFF00"/>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）合同签订</w:t>
      </w:r>
      <w:r>
        <w:rPr>
          <w:rFonts w:hint="eastAsia" w:ascii="仿宋" w:hAnsi="仿宋" w:eastAsia="仿宋" w:cs="仿宋"/>
          <w:color w:val="auto"/>
          <w:sz w:val="21"/>
          <w:szCs w:val="21"/>
          <w:highlight w:val="none"/>
          <w:lang w:val="en-US" w:eastAsia="zh-CN"/>
        </w:rPr>
        <w:t>完成，</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lang w:val="en-US" w:eastAsia="zh-CN"/>
        </w:rPr>
        <w:t>规划设计</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lang w:val="en-US" w:eastAsia="zh-CN"/>
        </w:rPr>
        <w:t>并通过审核（审批）</w:t>
      </w:r>
      <w:r>
        <w:rPr>
          <w:rFonts w:hint="eastAsia" w:ascii="仿宋" w:hAnsi="仿宋" w:eastAsia="仿宋" w:cs="仿宋"/>
          <w:color w:val="auto"/>
          <w:sz w:val="21"/>
          <w:szCs w:val="21"/>
          <w:highlight w:val="none"/>
          <w:lang w:eastAsia="zh-CN"/>
        </w:rPr>
        <w:t>后付</w:t>
      </w:r>
      <w:r>
        <w:rPr>
          <w:rFonts w:hint="eastAsia" w:ascii="仿宋" w:hAnsi="仿宋" w:eastAsia="仿宋" w:cs="仿宋"/>
          <w:color w:val="auto"/>
          <w:sz w:val="21"/>
          <w:szCs w:val="21"/>
          <w:highlight w:val="none"/>
          <w:lang w:val="en-US" w:eastAsia="zh-CN"/>
        </w:rPr>
        <w:t>合同总价款的7</w:t>
      </w:r>
      <w:r>
        <w:rPr>
          <w:rFonts w:hint="eastAsia" w:ascii="仿宋" w:hAnsi="仿宋" w:eastAsia="仿宋" w:cs="仿宋"/>
          <w:color w:val="auto"/>
          <w:sz w:val="21"/>
          <w:szCs w:val="21"/>
          <w:highlight w:val="none"/>
          <w:lang w:eastAsia="zh-CN"/>
        </w:rPr>
        <w:t>0%；</w:t>
      </w:r>
      <w:r>
        <w:rPr>
          <w:rFonts w:hint="eastAsia" w:ascii="仿宋" w:hAnsi="仿宋" w:eastAsia="仿宋" w:cs="仿宋"/>
          <w:color w:val="auto"/>
          <w:sz w:val="21"/>
          <w:szCs w:val="21"/>
          <w:highlight w:val="none"/>
          <w:lang w:val="en-US" w:eastAsia="zh-CN"/>
        </w:rPr>
        <w:t>剩余款项（合同总价款的30%）一年后付清</w:t>
      </w:r>
      <w:r>
        <w:rPr>
          <w:rFonts w:hint="eastAsia" w:ascii="仿宋" w:hAnsi="仿宋" w:eastAsia="仿宋" w:cs="仿宋"/>
          <w:color w:val="auto"/>
          <w:sz w:val="21"/>
          <w:szCs w:val="21"/>
          <w:highlight w:val="none"/>
          <w:lang w:eastAsia="zh-CN"/>
        </w:rPr>
        <w:t>。</w:t>
      </w:r>
    </w:p>
    <w:p>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（2）甲方付款前，乙方需按照甲方要求提供发票，否则甲方有权拒付费用且不承担任何责任。</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2、结算方式：银行转账。</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3、结算单位：由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采购人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负责结算，乙方开具合同总价数的全额发票交采购人。</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7" w:name="_Toc19515387"/>
      <w:r>
        <w:rPr>
          <w:rFonts w:hint="eastAsia" w:ascii="仿宋" w:hAnsi="仿宋" w:eastAsia="仿宋" w:cs="仿宋"/>
          <w:color w:val="auto"/>
          <w:sz w:val="21"/>
          <w:szCs w:val="21"/>
          <w:highlight w:val="none"/>
        </w:rPr>
        <w:t>四、履行期限、地点及方式:</w:t>
      </w:r>
      <w:bookmarkEnd w:id="437"/>
    </w:p>
    <w:p>
      <w:pPr>
        <w:pStyle w:val="15"/>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1、履行期限</w:t>
      </w:r>
      <w:r>
        <w:rPr>
          <w:rFonts w:hint="eastAsia" w:ascii="仿宋" w:hAnsi="仿宋" w:eastAsia="仿宋" w:cs="仿宋"/>
          <w:color w:val="auto"/>
          <w:kern w:val="2"/>
          <w:sz w:val="21"/>
          <w:szCs w:val="21"/>
          <w:highlight w:val="none"/>
          <w:lang w:val="en-US" w:eastAsia="zh-CN" w:bidi="ar-SA"/>
        </w:rPr>
        <w:t>：合同签订后30个日历日</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2、地点：采购人指定地点</w:t>
      </w:r>
    </w:p>
    <w:p>
      <w:pPr>
        <w:adjustRightInd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3、方式：</w:t>
      </w:r>
      <w:r>
        <w:rPr>
          <w:rFonts w:hint="eastAsia" w:ascii="仿宋" w:hAnsi="仿宋" w:eastAsia="仿宋" w:cs="仿宋"/>
          <w:color w:val="auto"/>
          <w:sz w:val="21"/>
          <w:szCs w:val="21"/>
          <w:highlight w:val="none"/>
          <w:lang w:eastAsia="zh-CN"/>
        </w:rPr>
        <w:t>采购人指定方式</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38" w:name="_Toc19515390"/>
      <w:r>
        <w:rPr>
          <w:rFonts w:hint="eastAsia" w:ascii="仿宋" w:hAnsi="仿宋" w:eastAsia="仿宋" w:cs="仿宋"/>
          <w:color w:val="auto"/>
          <w:sz w:val="21"/>
          <w:szCs w:val="21"/>
          <w:highlight w:val="none"/>
        </w:rPr>
        <w:t>五、</w:t>
      </w:r>
      <w:r>
        <w:rPr>
          <w:rFonts w:hint="eastAsia" w:ascii="仿宋" w:hAnsi="仿宋" w:eastAsia="仿宋" w:cs="仿宋"/>
          <w:color w:val="auto"/>
          <w:sz w:val="21"/>
          <w:szCs w:val="21"/>
          <w:highlight w:val="none"/>
          <w:lang w:val="en-US" w:eastAsia="zh-CN"/>
        </w:rPr>
        <w:t>方案的完成：</w:t>
      </w:r>
      <w:r>
        <w:rPr>
          <w:rFonts w:hint="eastAsia" w:ascii="仿宋" w:hAnsi="仿宋" w:eastAsia="仿宋" w:cs="仿宋"/>
          <w:color w:val="auto"/>
          <w:sz w:val="21"/>
          <w:szCs w:val="21"/>
          <w:highlight w:val="none"/>
        </w:rPr>
        <w:t>乙方完成服务内容后，向甲方提</w:t>
      </w:r>
      <w:r>
        <w:rPr>
          <w:rFonts w:hint="eastAsia" w:ascii="仿宋" w:hAnsi="仿宋" w:eastAsia="仿宋" w:cs="仿宋"/>
          <w:color w:val="auto"/>
          <w:sz w:val="21"/>
          <w:szCs w:val="21"/>
          <w:highlight w:val="none"/>
          <w:lang w:val="en-US" w:eastAsia="zh-CN"/>
        </w:rPr>
        <w:t>交完整的规划设计方案（纸质版12套，电子版1套）</w:t>
      </w:r>
      <w:r>
        <w:rPr>
          <w:rFonts w:hint="eastAsia" w:ascii="仿宋" w:hAnsi="仿宋" w:eastAsia="仿宋" w:cs="仿宋"/>
          <w:color w:val="auto"/>
          <w:sz w:val="21"/>
          <w:szCs w:val="21"/>
          <w:highlight w:val="none"/>
        </w:rPr>
        <w:t>，甲方接到乙方</w:t>
      </w:r>
      <w:r>
        <w:rPr>
          <w:rFonts w:hint="eastAsia" w:ascii="仿宋" w:hAnsi="仿宋" w:eastAsia="仿宋" w:cs="仿宋"/>
          <w:color w:val="auto"/>
          <w:sz w:val="21"/>
          <w:szCs w:val="21"/>
          <w:highlight w:val="none"/>
          <w:lang w:val="en-US" w:eastAsia="zh-CN"/>
        </w:rPr>
        <w:t>提交的方案后按照甲方内部程序或当地规划部门进行方案的审核（审批），审核（审批）通过即视为方案完成。</w:t>
      </w:r>
      <w:bookmarkEnd w:id="438"/>
    </w:p>
    <w:p>
      <w:pPr>
        <w:adjustRightInd w:val="0"/>
        <w:snapToGrid w:val="0"/>
        <w:spacing w:line="360" w:lineRule="auto"/>
        <w:ind w:firstLine="420" w:firstLineChars="200"/>
        <w:rPr>
          <w:rFonts w:hint="default" w:ascii="仿宋" w:hAnsi="仿宋" w:eastAsia="仿宋" w:cs="仿宋"/>
          <w:color w:val="auto"/>
          <w:sz w:val="21"/>
          <w:szCs w:val="21"/>
          <w:highlight w:val="yellow"/>
          <w:lang w:val="en-US"/>
        </w:rPr>
      </w:pPr>
      <w:bookmarkStart w:id="439" w:name="_Toc19515391"/>
      <w:r>
        <w:rPr>
          <w:rFonts w:hint="eastAsia" w:ascii="仿宋" w:hAnsi="仿宋" w:eastAsia="仿宋" w:cs="仿宋"/>
          <w:color w:val="auto"/>
          <w:sz w:val="21"/>
          <w:szCs w:val="21"/>
          <w:highlight w:val="none"/>
        </w:rPr>
        <w:t>六、</w:t>
      </w:r>
      <w:bookmarkEnd w:id="439"/>
      <w:r>
        <w:rPr>
          <w:rFonts w:hint="eastAsia" w:ascii="仿宋" w:hAnsi="仿宋" w:eastAsia="仿宋" w:cs="仿宋"/>
          <w:color w:val="auto"/>
          <w:sz w:val="21"/>
          <w:szCs w:val="21"/>
          <w:highlight w:val="none"/>
        </w:rPr>
        <w:t>技术服务</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、乙方在接到甲方电话通知后在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小时内</w:t>
      </w:r>
      <w:r>
        <w:rPr>
          <w:rFonts w:hint="eastAsia" w:ascii="仿宋" w:hAnsi="仿宋" w:eastAsia="仿宋" w:cs="仿宋"/>
          <w:color w:val="auto"/>
          <w:sz w:val="21"/>
          <w:szCs w:val="21"/>
          <w:highlight w:val="none"/>
          <w:lang w:val="en-US" w:eastAsia="zh-CN"/>
        </w:rPr>
        <w:t>完成</w:t>
      </w: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承担相应费用。</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、如果乙方在收到通知后两天内没有弥补缺陷，甲方可采取必要的补救措施，但其风险和费用将由乙方承担，甲方根据合同规定对乙方行使的其它权力不受影响。</w:t>
      </w:r>
    </w:p>
    <w:p>
      <w:pPr>
        <w:pStyle w:val="2"/>
        <w:spacing w:line="360" w:lineRule="auto"/>
        <w:rPr>
          <w:rFonts w:hint="default" w:eastAsia="仿宋"/>
          <w:highlight w:val="none"/>
          <w:lang w:val="en-US" w:eastAsia="zh-CN"/>
        </w:rPr>
      </w:pPr>
      <w:r>
        <w:rPr>
          <w:rFonts w:hint="eastAsia" w:ascii="仿宋" w:hAnsi="仿宋" w:eastAsia="仿宋" w:cs="仿宋"/>
          <w:color w:val="auto"/>
          <w:sz w:val="21"/>
          <w:szCs w:val="21"/>
          <w:highlight w:val="none"/>
          <w:lang w:val="en-US" w:eastAsia="zh-CN"/>
        </w:rPr>
        <w:t xml:space="preserve">    3、合同执行期间，若需要对方案进行调整（甲方或当地规划部门要求），乙方应无条件配合，直至通过审核（审批）。</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0" w:name="_Toc19515392"/>
      <w:r>
        <w:rPr>
          <w:rFonts w:hint="eastAsia" w:ascii="仿宋" w:hAnsi="仿宋" w:eastAsia="仿宋" w:cs="仿宋"/>
          <w:color w:val="auto"/>
          <w:sz w:val="21"/>
          <w:szCs w:val="21"/>
          <w:highlight w:val="none"/>
        </w:rPr>
        <w:t>七、违约责任</w:t>
      </w:r>
      <w:bookmarkEnd w:id="440"/>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1、按《中华人民共和国民法典》中的相关条款执行。</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2、乙方履约延误</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2-1、如乙方事先未征得甲方同意并得到甲方的谅解而单方面延迟执行合同，将按违约终止合同。</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五（</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%）计收，直至提供服务为止。误期赔偿费的最高限额为合同价格的百分之</w:t>
      </w:r>
      <w:r>
        <w:rPr>
          <w:rFonts w:hint="eastAsia" w:ascii="仿宋" w:hAnsi="仿宋" w:eastAsia="仿宋" w:cs="仿宋"/>
          <w:color w:val="auto"/>
          <w:sz w:val="21"/>
          <w:szCs w:val="21"/>
          <w:highlight w:val="none"/>
          <w:lang w:val="en-US" w:eastAsia="zh-CN"/>
        </w:rPr>
        <w:t>十五</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5%）。一旦达到误期赔偿费的最高限额，甲方可终止合同。</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3、违约终止合同：未按合同要求提供服务或不能满足技术要求，甲方有权终止合同，</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对乙方违约行为进行追究。</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1" w:name="_Toc19515393"/>
      <w:r>
        <w:rPr>
          <w:rFonts w:hint="eastAsia" w:ascii="仿宋" w:hAnsi="仿宋" w:eastAsia="仿宋" w:cs="仿宋"/>
          <w:color w:val="auto"/>
          <w:sz w:val="21"/>
          <w:szCs w:val="21"/>
          <w:highlight w:val="none"/>
        </w:rPr>
        <w:t>八、合同组成</w:t>
      </w:r>
      <w:bookmarkEnd w:id="441"/>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1、成交通知书</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2、合同文件</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3、国家相关规范及标准</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4、竞争性磋商文件</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5、成交供应商的响应文件</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2" w:name="_Toc19515394"/>
      <w:r>
        <w:rPr>
          <w:rFonts w:hint="eastAsia" w:ascii="仿宋" w:hAnsi="仿宋" w:eastAsia="仿宋" w:cs="仿宋"/>
          <w:color w:val="auto"/>
          <w:sz w:val="21"/>
          <w:szCs w:val="21"/>
          <w:highlight w:val="none"/>
          <w:lang w:eastAsia="zh-CN"/>
        </w:rPr>
        <w:t>九</w:t>
      </w:r>
      <w:r>
        <w:rPr>
          <w:rFonts w:hint="eastAsia" w:ascii="仿宋" w:hAnsi="仿宋" w:eastAsia="仿宋" w:cs="仿宋"/>
          <w:color w:val="auto"/>
          <w:sz w:val="21"/>
          <w:szCs w:val="21"/>
          <w:highlight w:val="none"/>
        </w:rPr>
        <w:t>、解决争议的方法</w:t>
      </w:r>
      <w:bookmarkEnd w:id="442"/>
    </w:p>
    <w:p>
      <w:pPr>
        <w:widowControl/>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凡因本合同引起的或与本合同有关的争议，双方应友好协商解决。协商不成时，双方均同意采用以下第（ </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 xml:space="preserve"> ）种争议解决方式：</w:t>
      </w:r>
    </w:p>
    <w:p>
      <w:pPr>
        <w:widowControl/>
        <w:numPr>
          <w:ilvl w:val="0"/>
          <w:numId w:val="14"/>
        </w:numPr>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、甲、乙双方均同意向（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"http://www.baidu.com/s?wd=%E4%BB%B2%E8%A3%81%E5%A7%94%E5%91%98%E4%BC%9A&amp;tn=SE_PcZhidaonwhc_ngpagmjz&amp;rsv_dl=gh_pc_zhidao" \t "_blank"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kern w:val="0"/>
          <w:sz w:val="21"/>
          <w:szCs w:val="21"/>
          <w:highlight w:val="none"/>
        </w:rPr>
        <w:t>仲裁委员会</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rPr>
        <w:t>）提起仲裁。</w:t>
      </w:r>
    </w:p>
    <w:p>
      <w:pPr>
        <w:widowControl/>
        <w:numPr>
          <w:ilvl w:val="0"/>
          <w:numId w:val="14"/>
        </w:numPr>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（2）、甲、乙双方均同意向（甲方所在地人民法院）提起诉讼。</w:t>
      </w:r>
    </w:p>
    <w:p>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43" w:name="_Toc19515395"/>
      <w:r>
        <w:rPr>
          <w:rFonts w:hint="eastAsia" w:ascii="仿宋" w:hAnsi="仿宋" w:eastAsia="仿宋" w:cs="仿宋"/>
          <w:color w:val="auto"/>
          <w:sz w:val="21"/>
          <w:szCs w:val="21"/>
          <w:highlight w:val="none"/>
        </w:rPr>
        <w:t>十、合同生效及其它</w:t>
      </w:r>
      <w:bookmarkEnd w:id="443"/>
    </w:p>
    <w:p>
      <w:pPr>
        <w:widowControl/>
        <w:autoSpaceDE w:val="0"/>
        <w:autoSpaceDN w:val="0"/>
        <w:snapToGrid w:val="0"/>
        <w:spacing w:line="360" w:lineRule="auto"/>
        <w:ind w:right="-110"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w:t>
      </w:r>
      <w:r>
        <w:rPr>
          <w:rFonts w:hint="eastAsia" w:ascii="仿宋" w:hAnsi="仿宋" w:eastAsia="仿宋" w:cs="仿宋"/>
          <w:color w:val="auto"/>
          <w:kern w:val="0"/>
          <w:sz w:val="21"/>
          <w:szCs w:val="21"/>
          <w:highlight w:val="none"/>
          <w:lang w:val="en-US" w:eastAsia="zh-CN"/>
        </w:rPr>
        <w:t>文本</w:t>
      </w:r>
      <w:r>
        <w:rPr>
          <w:rFonts w:hint="eastAsia" w:ascii="仿宋" w:hAnsi="仿宋" w:eastAsia="仿宋" w:cs="仿宋"/>
          <w:color w:val="auto"/>
          <w:kern w:val="0"/>
          <w:sz w:val="21"/>
          <w:szCs w:val="21"/>
          <w:highlight w:val="none"/>
        </w:rPr>
        <w:t>正本一式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份</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副本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肆</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lang w:val="en-US" w:eastAsia="zh-CN"/>
        </w:rPr>
        <w:t>份</w:t>
      </w:r>
      <w:r>
        <w:rPr>
          <w:rFonts w:hint="eastAsia" w:ascii="仿宋" w:hAnsi="仿宋" w:eastAsia="仿宋" w:cs="仿宋"/>
          <w:color w:val="auto"/>
          <w:kern w:val="0"/>
          <w:sz w:val="21"/>
          <w:szCs w:val="21"/>
          <w:highlight w:val="none"/>
        </w:rPr>
        <w:t>，甲方、乙方双方分别执</w:t>
      </w:r>
      <w:r>
        <w:rPr>
          <w:rFonts w:hint="eastAsia" w:ascii="仿宋" w:hAnsi="仿宋" w:eastAsia="仿宋" w:cs="仿宋"/>
          <w:color w:val="auto"/>
          <w:kern w:val="0"/>
          <w:sz w:val="21"/>
          <w:szCs w:val="21"/>
          <w:highlight w:val="none"/>
          <w:lang w:val="en-US" w:eastAsia="zh-CN"/>
        </w:rPr>
        <w:t>正本</w:t>
      </w:r>
      <w:r>
        <w:rPr>
          <w:rFonts w:hint="eastAsia" w:ascii="仿宋" w:hAnsi="仿宋" w:eastAsia="仿宋" w:cs="仿宋"/>
          <w:color w:val="auto"/>
          <w:kern w:val="0"/>
          <w:sz w:val="21"/>
          <w:szCs w:val="21"/>
          <w:highlight w:val="none"/>
          <w:u w:val="single"/>
          <w:lang w:val="en-US" w:eastAsia="zh-CN"/>
        </w:rPr>
        <w:t>壹</w:t>
      </w:r>
      <w:r>
        <w:rPr>
          <w:rFonts w:hint="eastAsia" w:ascii="仿宋" w:hAnsi="仿宋" w:eastAsia="仿宋" w:cs="仿宋"/>
          <w:color w:val="auto"/>
          <w:kern w:val="0"/>
          <w:sz w:val="21"/>
          <w:szCs w:val="21"/>
          <w:highlight w:val="none"/>
        </w:rPr>
        <w:t>份</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副本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份。</w:t>
      </w:r>
    </w:p>
    <w:p>
      <w:pPr>
        <w:widowControl/>
        <w:tabs>
          <w:tab w:val="left" w:pos="8391"/>
        </w:tabs>
        <w:autoSpaceDE w:val="0"/>
        <w:autoSpaceDN w:val="0"/>
        <w:snapToGrid w:val="0"/>
        <w:spacing w:line="360" w:lineRule="auto"/>
        <w:ind w:right="-69"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3、合同经甲乙双方盖章、签字后生效，合同签订地点为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widowControl/>
        <w:tabs>
          <w:tab w:val="left" w:pos="8391"/>
        </w:tabs>
        <w:autoSpaceDE w:val="0"/>
        <w:autoSpaceDN w:val="0"/>
        <w:snapToGrid w:val="0"/>
        <w:spacing w:line="360" w:lineRule="auto"/>
        <w:ind w:right="-69" w:firstLine="420" w:firstLineChars="200"/>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4、生效时间：</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p>
    <w:p>
      <w:pPr>
        <w:widowControl/>
        <w:tabs>
          <w:tab w:val="left" w:pos="8391"/>
        </w:tabs>
        <w:autoSpaceDE w:val="0"/>
        <w:autoSpaceDN w:val="0"/>
        <w:snapToGrid w:val="0"/>
        <w:spacing w:line="360" w:lineRule="auto"/>
        <w:ind w:right="-69" w:firstLine="735" w:firstLineChars="350"/>
        <w:textAlignment w:val="bottom"/>
        <w:rPr>
          <w:rFonts w:hint="eastAsia" w:ascii="仿宋" w:hAnsi="仿宋" w:eastAsia="仿宋" w:cs="仿宋"/>
          <w:color w:val="auto"/>
          <w:kern w:val="0"/>
          <w:sz w:val="21"/>
          <w:szCs w:val="21"/>
          <w:highlight w:val="none"/>
        </w:rPr>
      </w:pP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甲方名称</w:t>
            </w:r>
            <w:r>
              <w:rPr>
                <w:rFonts w:hint="eastAsia" w:ascii="仿宋" w:hAnsi="仿宋" w:eastAsia="仿宋" w:cs="仿宋"/>
                <w:color w:val="auto"/>
                <w:spacing w:val="-20"/>
                <w:kern w:val="0"/>
                <w:sz w:val="21"/>
                <w:szCs w:val="21"/>
                <w:highlight w:val="none"/>
              </w:rPr>
              <w:t>（盖章）</w:t>
            </w:r>
            <w:r>
              <w:rPr>
                <w:rFonts w:hint="eastAsia" w:ascii="仿宋" w:hAnsi="仿宋" w:eastAsia="仿宋" w:cs="仿宋"/>
                <w:color w:val="auto"/>
                <w:kern w:val="0"/>
                <w:sz w:val="21"/>
                <w:szCs w:val="21"/>
                <w:highlight w:val="none"/>
              </w:rPr>
              <w:t>:</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代表人（签字）：</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经办人：</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电话：</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账号：</w:t>
            </w:r>
          </w:p>
        </w:tc>
        <w:tc>
          <w:tcPr>
            <w:tcW w:w="4643" w:type="dxa"/>
          </w:tcPr>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乙方名称</w:t>
            </w:r>
            <w:r>
              <w:rPr>
                <w:rFonts w:hint="eastAsia" w:ascii="仿宋" w:hAnsi="仿宋" w:eastAsia="仿宋" w:cs="仿宋"/>
                <w:color w:val="auto"/>
                <w:spacing w:val="-20"/>
                <w:kern w:val="0"/>
                <w:sz w:val="21"/>
                <w:szCs w:val="21"/>
                <w:highlight w:val="none"/>
              </w:rPr>
              <w:t>（盖章）</w:t>
            </w:r>
            <w:r>
              <w:rPr>
                <w:rFonts w:hint="eastAsia" w:ascii="仿宋" w:hAnsi="仿宋" w:eastAsia="仿宋" w:cs="仿宋"/>
                <w:color w:val="auto"/>
                <w:kern w:val="0"/>
                <w:sz w:val="21"/>
                <w:szCs w:val="21"/>
                <w:highlight w:val="none"/>
              </w:rPr>
              <w:t>:</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代表人（签字）：</w:t>
            </w:r>
          </w:p>
          <w:p>
            <w:pPr>
              <w:pStyle w:val="2"/>
              <w:spacing w:line="360" w:lineRule="auto"/>
              <w:rPr>
                <w:rFonts w:hint="eastAsia"/>
              </w:rPr>
            </w:pP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电话：</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账号：</w:t>
            </w:r>
          </w:p>
        </w:tc>
      </w:tr>
    </w:tbl>
    <w:p>
      <w:pPr>
        <w:jc w:val="center"/>
        <w:rPr>
          <w:rStyle w:val="208"/>
          <w:rFonts w:hint="default" w:ascii="Times New Roman" w:hAnsi="Times New Roman" w:eastAsia="宋体" w:cs="Times New Roman"/>
          <w:i w:val="0"/>
          <w:iCs w:val="0"/>
          <w:color w:val="auto"/>
          <w:sz w:val="36"/>
          <w:szCs w:val="36"/>
          <w:highlight w:val="none"/>
        </w:rPr>
      </w:pPr>
      <w:bookmarkStart w:id="444" w:name="_Toc19699"/>
      <w:bookmarkStart w:id="445" w:name="_Toc58504448"/>
      <w:r>
        <w:rPr>
          <w:rStyle w:val="208"/>
          <w:rFonts w:hint="default" w:ascii="Times New Roman" w:hAnsi="Times New Roman" w:eastAsia="宋体" w:cs="Times New Roman"/>
          <w:i w:val="0"/>
          <w:iCs w:val="0"/>
          <w:color w:val="auto"/>
          <w:sz w:val="36"/>
          <w:szCs w:val="36"/>
          <w:highlight w:val="none"/>
        </w:rPr>
        <w:t>第五章  采购内容及要求</w:t>
      </w:r>
      <w:bookmarkEnd w:id="444"/>
      <w:bookmarkEnd w:id="445"/>
    </w:p>
    <w:p>
      <w:pPr>
        <w:pStyle w:val="304"/>
        <w:keepNext w:val="0"/>
        <w:keepLines w:val="0"/>
        <w:pageBreakBefore w:val="0"/>
        <w:widowControl w:val="0"/>
        <w:numPr>
          <w:ilvl w:val="0"/>
          <w:numId w:val="15"/>
        </w:numPr>
        <w:kinsoku/>
        <w:wordWrap/>
        <w:overflowPunct/>
        <w:topLinePunct w:val="0"/>
        <w:autoSpaceDE/>
        <w:autoSpaceDN/>
        <w:bidi w:val="0"/>
        <w:adjustRightInd w:val="0"/>
        <w:snapToGrid/>
        <w:ind w:left="-410" w:leftChars="0" w:firstLine="410" w:firstLineChars="0"/>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项目范围及内容：</w:t>
      </w:r>
    </w:p>
    <w:p>
      <w:pPr>
        <w:keepNext w:val="0"/>
        <w:keepLines w:val="0"/>
        <w:pageBreakBefore w:val="0"/>
        <w:widowControl/>
        <w:kinsoku/>
        <w:wordWrap/>
        <w:overflowPunct/>
        <w:topLinePunct w:val="0"/>
        <w:autoSpaceDE/>
        <w:autoSpaceDN/>
        <w:bidi w:val="0"/>
        <w:adjustRightInd/>
        <w:snapToGrid w:val="0"/>
        <w:spacing w:line="360" w:lineRule="auto"/>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陕西中医药大学第二附属医院迁建医院项目西侧二期预留土地规划设计项目，该项目位于西咸新区沣西新城龙台观路831号，</w:t>
      </w:r>
      <w:r>
        <w:rPr>
          <w:rFonts w:hint="eastAsia" w:ascii="仿宋" w:hAnsi="仿宋" w:eastAsia="仿宋" w:cs="仿宋"/>
          <w:i w:val="0"/>
          <w:iCs w:val="0"/>
          <w:color w:val="auto"/>
          <w:kern w:val="0"/>
          <w:sz w:val="21"/>
          <w:szCs w:val="21"/>
          <w:highlight w:val="none"/>
          <w:lang w:val="en-US" w:eastAsia="zh-CN"/>
        </w:rPr>
        <w:t>迁建医院项目西侧二期预留土地面积约49.7亩，占地面积约为3.3万㎡，现需对该区域重新进行规划设计，设计范围包括但不限于：教学区域总平面规划方案设计、配套建筑设计、</w:t>
      </w:r>
      <w:r>
        <w:rPr>
          <w:rFonts w:hint="eastAsia" w:ascii="仿宋" w:hAnsi="仿宋" w:eastAsia="仿宋" w:cs="仿宋"/>
          <w:i w:val="0"/>
          <w:iCs w:val="0"/>
          <w:color w:val="auto"/>
          <w:kern w:val="0"/>
          <w:sz w:val="21"/>
          <w:szCs w:val="21"/>
          <w:highlight w:val="none"/>
          <w:lang w:val="en-US" w:eastAsia="zh-CN" w:bidi="ar-SA"/>
        </w:rPr>
        <w:t>景观规划（含海绵城市规划）</w:t>
      </w:r>
      <w:r>
        <w:rPr>
          <w:rFonts w:hint="eastAsia" w:ascii="仿宋" w:hAnsi="仿宋" w:eastAsia="仿宋" w:cs="仿宋"/>
          <w:i w:val="0"/>
          <w:iCs w:val="0"/>
          <w:color w:val="auto"/>
          <w:kern w:val="0"/>
          <w:sz w:val="21"/>
          <w:szCs w:val="21"/>
          <w:highlight w:val="none"/>
          <w:lang w:val="en-US" w:eastAsia="zh-CN"/>
        </w:rPr>
        <w:t>、室外环境设施、交通规划设计等。规划设计时应统一考虑院区地块内已建设部分、即将建设部分及本次规划设计部分，并满足陕西省西咸新区沣西新城相应地块规划条件。</w:t>
      </w:r>
    </w:p>
    <w:p>
      <w:pPr>
        <w:pStyle w:val="30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二、基本要求：</w:t>
      </w:r>
    </w:p>
    <w:p>
      <w:pPr>
        <w:pStyle w:val="304"/>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1.依据国家规范及规程要求对迁建医院项目西侧预留土地</w:t>
      </w:r>
      <w:r>
        <w:rPr>
          <w:rFonts w:hint="eastAsia" w:ascii="仿宋" w:hAnsi="仿宋" w:cs="仿宋"/>
          <w:i w:val="0"/>
          <w:iCs w:val="0"/>
          <w:color w:val="auto"/>
          <w:kern w:val="0"/>
          <w:sz w:val="21"/>
          <w:szCs w:val="21"/>
          <w:highlight w:val="none"/>
          <w:lang w:val="en-US" w:eastAsia="zh-CN" w:bidi="ar-SA"/>
        </w:rPr>
        <w:t>进行</w:t>
      </w:r>
      <w:r>
        <w:rPr>
          <w:rFonts w:hint="eastAsia" w:ascii="仿宋" w:hAnsi="仿宋" w:eastAsia="仿宋" w:cs="仿宋"/>
          <w:i w:val="0"/>
          <w:iCs w:val="0"/>
          <w:color w:val="auto"/>
          <w:kern w:val="0"/>
          <w:sz w:val="21"/>
          <w:szCs w:val="21"/>
          <w:highlight w:val="none"/>
          <w:lang w:val="en-US" w:eastAsia="zh-CN" w:bidi="ar-SA"/>
        </w:rPr>
        <w:t>规划设计</w:t>
      </w:r>
      <w:r>
        <w:rPr>
          <w:rFonts w:hint="eastAsia" w:ascii="仿宋" w:hAnsi="仿宋" w:cs="仿宋"/>
          <w:i w:val="0"/>
          <w:iCs w:val="0"/>
          <w:color w:val="auto"/>
          <w:kern w:val="0"/>
          <w:sz w:val="21"/>
          <w:szCs w:val="21"/>
          <w:highlight w:val="none"/>
          <w:lang w:val="en-US" w:eastAsia="zh-CN" w:bidi="ar-SA"/>
        </w:rPr>
        <w:t>；</w:t>
      </w:r>
    </w:p>
    <w:p>
      <w:pPr>
        <w:pStyle w:val="304"/>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2.供应商的相关服务须满足国家相关标准、磋商文件要求及采购人需求。</w:t>
      </w:r>
    </w:p>
    <w:p>
      <w:pPr>
        <w:rPr>
          <w:rFonts w:hint="default"/>
          <w:color w:val="auto"/>
          <w:highlight w:val="none"/>
        </w:rPr>
      </w:pPr>
      <w:r>
        <w:rPr>
          <w:rFonts w:hint="default"/>
          <w:color w:val="auto"/>
          <w:highlight w:val="none"/>
        </w:rPr>
        <w:br w:type="page"/>
      </w:r>
    </w:p>
    <w:p>
      <w:pPr>
        <w:pStyle w:val="24"/>
        <w:rPr>
          <w:rFonts w:hint="default"/>
          <w:color w:val="auto"/>
          <w:highlight w:val="none"/>
        </w:rPr>
      </w:pPr>
    </w:p>
    <w:p>
      <w:pPr>
        <w:pStyle w:val="46"/>
        <w:numPr>
          <w:ilvl w:val="0"/>
          <w:numId w:val="16"/>
        </w:numPr>
        <w:spacing w:line="360" w:lineRule="auto"/>
        <w:rPr>
          <w:rStyle w:val="208"/>
          <w:rFonts w:hint="default" w:ascii="Times New Roman" w:hAnsi="Times New Roman" w:eastAsia="宋体" w:cs="Times New Roman"/>
          <w:i w:val="0"/>
          <w:iCs w:val="0"/>
          <w:color w:val="auto"/>
          <w:sz w:val="36"/>
          <w:szCs w:val="36"/>
          <w:highlight w:val="none"/>
        </w:rPr>
      </w:pPr>
      <w:bookmarkStart w:id="446" w:name="_Toc389620241"/>
      <w:bookmarkStart w:id="447" w:name="_Toc415499899"/>
      <w:bookmarkStart w:id="448" w:name="_Toc58504449"/>
      <w:bookmarkStart w:id="449" w:name="_Toc385992401"/>
      <w:bookmarkStart w:id="450" w:name="_Toc31008"/>
      <w:r>
        <w:rPr>
          <w:rStyle w:val="208"/>
          <w:rFonts w:hint="default" w:ascii="Times New Roman" w:hAnsi="Times New Roman" w:eastAsia="宋体" w:cs="Times New Roman"/>
          <w:i w:val="0"/>
          <w:iCs w:val="0"/>
          <w:color w:val="auto"/>
          <w:sz w:val="36"/>
          <w:szCs w:val="36"/>
          <w:highlight w:val="none"/>
        </w:rPr>
        <w:t xml:space="preserve"> </w:t>
      </w:r>
      <w:bookmarkStart w:id="451" w:name="_Toc5413"/>
      <w:r>
        <w:rPr>
          <w:rStyle w:val="208"/>
          <w:rFonts w:hint="default" w:ascii="Times New Roman" w:hAnsi="Times New Roman" w:eastAsia="宋体" w:cs="Times New Roman"/>
          <w:i w:val="0"/>
          <w:iCs w:val="0"/>
          <w:color w:val="auto"/>
          <w:sz w:val="36"/>
          <w:szCs w:val="36"/>
          <w:highlight w:val="none"/>
        </w:rPr>
        <w:t>磋商响应文件格式</w:t>
      </w:r>
      <w:bookmarkEnd w:id="446"/>
      <w:bookmarkEnd w:id="447"/>
      <w:bookmarkEnd w:id="448"/>
      <w:bookmarkEnd w:id="449"/>
      <w:bookmarkEnd w:id="450"/>
      <w:bookmarkEnd w:id="451"/>
    </w:p>
    <w:p>
      <w:pPr>
        <w:pStyle w:val="46"/>
        <w:numPr>
          <w:ilvl w:val="0"/>
          <w:numId w:val="0"/>
        </w:numPr>
        <w:spacing w:line="360" w:lineRule="auto"/>
        <w:jc w:val="both"/>
        <w:rPr>
          <w:rFonts w:hint="default" w:ascii="Times New Roman" w:hAnsi="Times New Roman" w:cs="Times New Roman" w:eastAsiaTheme="minorEastAsia"/>
          <w:i w:val="0"/>
          <w:iCs w:val="0"/>
          <w:color w:val="auto"/>
          <w:highlight w:val="none"/>
        </w:rPr>
      </w:pPr>
      <w:r>
        <w:rPr>
          <w:rFonts w:hint="default" w:ascii="Times New Roman" w:hAnsi="Times New Roman" w:cs="Times New Roman" w:eastAsiaTheme="minorEastAsia"/>
          <w:i w:val="0"/>
          <w:iCs w:val="0"/>
          <w:color w:val="auto"/>
          <w:highlight w:val="none"/>
        </w:rPr>
        <w:br w:type="page"/>
      </w:r>
      <w:r>
        <w:rPr>
          <w:rFonts w:hint="default" w:ascii="Times New Roman" w:hAnsi="Times New Roman" w:cs="Times New Roman" w:eastAsiaTheme="minorEastAsia"/>
          <w:i w:val="0"/>
          <w:iCs w:val="0"/>
          <w:color w:val="auto"/>
          <w:highlight w:val="none"/>
        </w:rPr>
        <w:t xml:space="preserve"> </w:t>
      </w:r>
    </w:p>
    <w:p>
      <w:pPr>
        <w:pStyle w:val="163"/>
        <w:ind w:firstLine="6586" w:firstLineChars="2050"/>
        <w:rPr>
          <w:rFonts w:hint="default" w:ascii="Times New Roman" w:hAnsi="Times New Roman" w:cs="Times New Roman"/>
          <w:bCs/>
          <w:i w:val="0"/>
          <w:iCs w:val="0"/>
          <w:color w:val="auto"/>
          <w:highlight w:val="none"/>
          <w:lang w:val="zh-CN"/>
        </w:rPr>
      </w:pPr>
      <w:bookmarkStart w:id="452" w:name="_Toc62196433"/>
      <w:r>
        <w:rPr>
          <w:rFonts w:hint="default" w:ascii="Times New Roman" w:hAnsi="Times New Roman" w:cs="Times New Roman"/>
          <w:i w:val="0"/>
          <w:iCs w:val="0"/>
          <w:color w:val="auto"/>
          <w:highlight w:val="none"/>
          <w:lang w:val="zh-CN"/>
        </w:rPr>
        <w:t>正本/副本</w:t>
      </w:r>
      <w:bookmarkEnd w:id="452"/>
    </w:p>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采购项目编号：</w:t>
      </w:r>
      <w:r>
        <w:rPr>
          <w:rFonts w:hint="eastAsia" w:ascii="Times New Roman" w:hAnsi="Times New Roman" w:eastAsia="仿宋_GB2312" w:cs="Times New Roman"/>
          <w:b/>
          <w:bCs/>
          <w:i w:val="0"/>
          <w:iCs w:val="0"/>
          <w:color w:val="auto"/>
          <w:sz w:val="32"/>
          <w:szCs w:val="32"/>
          <w:highlight w:val="none"/>
          <w:lang w:val="en-US" w:eastAsia="zh-CN"/>
        </w:rPr>
        <w:t>SZRFYZB202312-153</w:t>
      </w:r>
    </w:p>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2"/>
          <w:szCs w:val="32"/>
          <w:highlight w:val="none"/>
          <w:lang w:val="zh-CN"/>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Times New Roman" w:hAnsi="Times New Roman" w:eastAsia="仿宋_GB2312" w:cs="Times New Roman"/>
          <w:b/>
          <w:bCs/>
          <w:i w:val="0"/>
          <w:iCs w:val="0"/>
          <w:color w:val="auto"/>
          <w:sz w:val="44"/>
          <w:szCs w:val="44"/>
          <w:highlight w:val="none"/>
          <w:lang w:val="en-US" w:eastAsia="zh-CN"/>
        </w:rPr>
      </w:pPr>
      <w:r>
        <w:rPr>
          <w:rFonts w:hint="eastAsia" w:ascii="Times New Roman" w:hAnsi="Times New Roman" w:eastAsia="仿宋_GB2312" w:cs="Times New Roman"/>
          <w:b/>
          <w:bCs/>
          <w:i w:val="0"/>
          <w:iCs w:val="0"/>
          <w:color w:val="auto"/>
          <w:sz w:val="44"/>
          <w:szCs w:val="44"/>
          <w:highlight w:val="none"/>
          <w:lang w:val="en-US" w:eastAsia="zh-CN"/>
        </w:rPr>
        <w:t>陕西中医药大学第二附属医院迁建医院项目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44"/>
          <w:szCs w:val="44"/>
          <w:highlight w:val="none"/>
          <w:lang w:val="zh-CN"/>
        </w:rPr>
      </w:pPr>
      <w:r>
        <w:rPr>
          <w:rFonts w:hint="eastAsia" w:ascii="Times New Roman" w:hAnsi="Times New Roman" w:eastAsia="仿宋_GB2312" w:cs="Times New Roman"/>
          <w:b/>
          <w:bCs/>
          <w:i w:val="0"/>
          <w:iCs w:val="0"/>
          <w:color w:val="auto"/>
          <w:sz w:val="44"/>
          <w:szCs w:val="44"/>
          <w:highlight w:val="none"/>
          <w:lang w:val="en-US" w:eastAsia="zh-CN"/>
        </w:rPr>
        <w:t>西侧</w:t>
      </w:r>
      <w:r>
        <w:rPr>
          <w:rFonts w:hint="eastAsia" w:eastAsia="仿宋_GB2312" w:cs="Times New Roman"/>
          <w:b/>
          <w:bCs/>
          <w:i w:val="0"/>
          <w:iCs w:val="0"/>
          <w:color w:val="auto"/>
          <w:sz w:val="44"/>
          <w:szCs w:val="44"/>
          <w:highlight w:val="none"/>
          <w:lang w:val="en-US" w:eastAsia="zh-CN"/>
        </w:rPr>
        <w:t>二期</w:t>
      </w:r>
      <w:r>
        <w:rPr>
          <w:rFonts w:hint="eastAsia" w:ascii="Times New Roman" w:hAnsi="Times New Roman" w:eastAsia="仿宋_GB2312" w:cs="Times New Roman"/>
          <w:b/>
          <w:bCs/>
          <w:i w:val="0"/>
          <w:iCs w:val="0"/>
          <w:color w:val="auto"/>
          <w:sz w:val="44"/>
          <w:szCs w:val="44"/>
          <w:highlight w:val="none"/>
          <w:lang w:val="en-US" w:eastAsia="zh-CN"/>
        </w:rPr>
        <w:t>预留土地规划设计项目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6"/>
          <w:szCs w:val="36"/>
          <w:highlight w:val="none"/>
          <w:lang w:val="zh-CN"/>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52"/>
          <w:szCs w:val="52"/>
          <w:highlight w:val="none"/>
          <w:lang w:val="zh-CN"/>
        </w:rPr>
      </w:pPr>
      <w:r>
        <w:rPr>
          <w:rFonts w:hint="default" w:ascii="Times New Roman" w:hAnsi="Times New Roman" w:eastAsia="仿宋_GB2312" w:cs="Times New Roman"/>
          <w:b/>
          <w:bCs/>
          <w:i w:val="0"/>
          <w:iCs w:val="0"/>
          <w:color w:val="auto"/>
          <w:sz w:val="52"/>
          <w:szCs w:val="52"/>
          <w:highlight w:val="none"/>
          <w:lang w:val="zh-CN"/>
        </w:rPr>
        <w:t>磋商响应文件</w:t>
      </w:r>
    </w:p>
    <w:p>
      <w:pPr>
        <w:pStyle w:val="200"/>
        <w:ind w:firstLine="2891" w:firstLineChars="1200"/>
        <w:rPr>
          <w:rFonts w:hint="default" w:ascii="Times New Roman" w:hAnsi="Times New Roman" w:eastAsia="仿宋_GB2312" w:cs="Times New Roman"/>
          <w:b/>
          <w:i w:val="0"/>
          <w:iCs w:val="0"/>
          <w:color w:val="auto"/>
          <w:sz w:val="30"/>
          <w:szCs w:val="30"/>
          <w:highlight w:val="none"/>
        </w:rPr>
      </w:pPr>
      <w:r>
        <w:rPr>
          <w:rFonts w:hint="default" w:ascii="Times New Roman" w:hAnsi="Times New Roman" w:eastAsia="仿宋_GB2312" w:cs="Times New Roman"/>
          <w:b/>
          <w:bCs/>
          <w:i w:val="0"/>
          <w:iCs w:val="0"/>
          <w:color w:val="auto"/>
          <w:highlight w:val="none"/>
          <w:lang w:val="zh-CN"/>
        </w:rPr>
        <w:t xml:space="preserve"> </w:t>
      </w:r>
      <w:r>
        <w:rPr>
          <w:rFonts w:hint="eastAsia" w:ascii="Times New Roman" w:eastAsia="仿宋_GB2312" w:cs="Times New Roman"/>
          <w:b/>
          <w:bCs/>
          <w:i w:val="0"/>
          <w:iCs w:val="0"/>
          <w:color w:val="auto"/>
          <w:highlight w:val="none"/>
          <w:lang w:val="en-US" w:eastAsia="zh-CN"/>
        </w:rPr>
        <w:t xml:space="preserve"> </w:t>
      </w:r>
      <w:r>
        <w:rPr>
          <w:rFonts w:hint="default" w:ascii="Times New Roman" w:hAnsi="Times New Roman" w:eastAsia="仿宋_GB2312" w:cs="Times New Roman"/>
          <w:b/>
          <w:i w:val="0"/>
          <w:iCs w:val="0"/>
          <w:color w:val="auto"/>
          <w:sz w:val="30"/>
          <w:szCs w:val="30"/>
          <w:highlight w:val="none"/>
        </w:rPr>
        <w:t>（</w:t>
      </w:r>
      <w:r>
        <w:rPr>
          <w:rFonts w:hint="default" w:ascii="Times New Roman" w:hAnsi="Times New Roman" w:cs="Times New Roman"/>
          <w:b/>
          <w:i w:val="0"/>
          <w:iCs w:val="0"/>
          <w:color w:val="auto"/>
          <w:sz w:val="30"/>
          <w:szCs w:val="30"/>
          <w:highlight w:val="none"/>
        </w:rPr>
        <w:t>资格证明文件</w:t>
      </w:r>
      <w:r>
        <w:rPr>
          <w:rFonts w:hint="default" w:ascii="Times New Roman" w:hAnsi="Times New Roman" w:eastAsia="仿宋_GB2312" w:cs="Times New Roman"/>
          <w:b/>
          <w:i w:val="0"/>
          <w:iCs w:val="0"/>
          <w:color w:val="auto"/>
          <w:sz w:val="30"/>
          <w:szCs w:val="30"/>
          <w:highlight w:val="none"/>
        </w:rPr>
        <w:t>）</w:t>
      </w:r>
    </w:p>
    <w:p>
      <w:pPr>
        <w:rPr>
          <w:rFonts w:hint="default" w:ascii="Times New Roman" w:hAnsi="Times New Roman" w:cs="Times New Roman"/>
          <w:i w:val="0"/>
          <w:iCs w:val="0"/>
          <w:color w:val="auto"/>
          <w:highlight w:val="none"/>
        </w:rPr>
      </w:pPr>
    </w:p>
    <w:p>
      <w:pPr>
        <w:pStyle w:val="24"/>
        <w:rPr>
          <w:rFonts w:hint="default" w:ascii="Times New Roman" w:hAnsi="Times New Roman" w:cs="Times New Roman"/>
          <w:i w:val="0"/>
          <w:iCs w:val="0"/>
          <w:color w:val="auto"/>
          <w:highlight w:val="none"/>
        </w:rPr>
      </w:pPr>
    </w:p>
    <w:p>
      <w:pPr>
        <w:pStyle w:val="24"/>
        <w:rPr>
          <w:rFonts w:hint="default" w:ascii="Times New Roman" w:hAnsi="Times New Roman" w:cs="Times New Roman"/>
          <w:i w:val="0"/>
          <w:iCs w:val="0"/>
          <w:color w:val="auto"/>
          <w:highlight w:val="none"/>
        </w:rPr>
      </w:pPr>
    </w:p>
    <w:p>
      <w:pPr>
        <w:pStyle w:val="24"/>
        <w:rPr>
          <w:rFonts w:hint="default" w:ascii="Times New Roman" w:hAnsi="Times New Roman" w:cs="Times New Roman"/>
          <w:i w:val="0"/>
          <w:iCs w:val="0"/>
          <w:color w:val="auto"/>
          <w:highlight w:val="none"/>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rPr>
      </w:pPr>
      <w:r>
        <w:rPr>
          <w:rFonts w:hint="default" w:ascii="Times New Roman" w:hAnsi="Times New Roman" w:eastAsia="仿宋_GB2312" w:cs="Times New Roman"/>
          <w:b/>
          <w:bCs/>
          <w:i w:val="0"/>
          <w:iCs w:val="0"/>
          <w:color w:val="auto"/>
          <w:sz w:val="32"/>
          <w:szCs w:val="32"/>
          <w:highlight w:val="none"/>
          <w:u w:val="single"/>
        </w:rPr>
        <w:t xml:space="preserve">              </w:t>
      </w:r>
      <w:r>
        <w:rPr>
          <w:rFonts w:hint="default" w:ascii="Times New Roman" w:hAnsi="Times New Roman" w:eastAsia="仿宋_GB2312" w:cs="Times New Roman"/>
          <w:b/>
          <w:bCs/>
          <w:i w:val="0"/>
          <w:iCs w:val="0"/>
          <w:color w:val="auto"/>
          <w:sz w:val="32"/>
          <w:szCs w:val="32"/>
          <w:highlight w:val="none"/>
        </w:rPr>
        <w:t xml:space="preserve">   </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30"/>
          <w:szCs w:val="30"/>
          <w:highlight w:val="none"/>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i w:val="0"/>
          <w:iCs w:val="0"/>
          <w:color w:val="auto"/>
          <w:sz w:val="30"/>
          <w:szCs w:val="30"/>
          <w:highlight w:val="none"/>
        </w:rPr>
        <w:t xml:space="preserve">      </w:t>
      </w:r>
      <w:r>
        <w:rPr>
          <w:rFonts w:hint="default" w:ascii="Times New Roman" w:hAnsi="Times New Roman" w:eastAsia="仿宋_GB2312" w:cs="Times New Roman"/>
          <w:b/>
          <w:bCs/>
          <w:i w:val="0"/>
          <w:iCs w:val="0"/>
          <w:color w:val="auto"/>
          <w:sz w:val="32"/>
          <w:szCs w:val="32"/>
          <w:highlight w:val="none"/>
          <w:lang w:val="zh-CN"/>
        </w:rPr>
        <w:t>供应商：</w:t>
      </w:r>
      <w:r>
        <w:rPr>
          <w:rFonts w:hint="default" w:ascii="Times New Roman" w:hAnsi="Times New Roman" w:eastAsia="仿宋_GB2312" w:cs="Times New Roman"/>
          <w:b/>
          <w:bCs/>
          <w:i w:val="0"/>
          <w:iCs w:val="0"/>
          <w:color w:val="auto"/>
          <w:sz w:val="32"/>
          <w:szCs w:val="32"/>
          <w:highlight w:val="none"/>
          <w:u w:val="single"/>
        </w:rPr>
        <w:t xml:space="preserve">                   </w:t>
      </w: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rPr>
      </w:pP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b/>
          <w:bCs/>
          <w:i w:val="0"/>
          <w:iCs w:val="0"/>
          <w:color w:val="auto"/>
          <w:sz w:val="32"/>
          <w:szCs w:val="32"/>
          <w:highlight w:val="none"/>
          <w:lang w:val="zh-CN"/>
        </w:rPr>
        <w:t>时</w:t>
      </w:r>
      <w:r>
        <w:rPr>
          <w:rFonts w:hint="default" w:ascii="Times New Roman" w:hAnsi="Times New Roman" w:eastAsia="仿宋_GB2312" w:cs="Times New Roman"/>
          <w:b/>
          <w:bCs/>
          <w:i w:val="0"/>
          <w:iCs w:val="0"/>
          <w:color w:val="auto"/>
          <w:sz w:val="32"/>
          <w:szCs w:val="32"/>
          <w:highlight w:val="none"/>
        </w:rPr>
        <w:t xml:space="preserve">  </w:t>
      </w:r>
      <w:r>
        <w:rPr>
          <w:rFonts w:hint="default" w:ascii="Times New Roman" w:hAnsi="Times New Roman" w:eastAsia="仿宋_GB2312" w:cs="Times New Roman"/>
          <w:b/>
          <w:bCs/>
          <w:i w:val="0"/>
          <w:iCs w:val="0"/>
          <w:color w:val="auto"/>
          <w:sz w:val="32"/>
          <w:szCs w:val="32"/>
          <w:highlight w:val="none"/>
          <w:lang w:val="zh-CN"/>
        </w:rPr>
        <w:t>间：</w:t>
      </w:r>
      <w:r>
        <w:rPr>
          <w:rFonts w:hint="default" w:ascii="Times New Roman" w:hAnsi="Times New Roman" w:eastAsia="仿宋_GB2312" w:cs="Times New Roman"/>
          <w:b/>
          <w:bCs/>
          <w:i w:val="0"/>
          <w:iCs w:val="0"/>
          <w:color w:val="auto"/>
          <w:sz w:val="32"/>
          <w:szCs w:val="32"/>
          <w:highlight w:val="none"/>
          <w:u w:val="single"/>
        </w:rPr>
        <w:t xml:space="preserve">  </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br w:type="page"/>
      </w: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b/>
          <w:bCs/>
          <w:i w:val="0"/>
          <w:iCs w:val="0"/>
          <w:color w:val="auto"/>
          <w:sz w:val="32"/>
          <w:szCs w:val="32"/>
          <w:highlight w:val="none"/>
          <w:u w:val="single"/>
        </w:rPr>
        <w:t xml:space="preserve">                 </w:t>
      </w:r>
    </w:p>
    <w:p>
      <w:pPr>
        <w:pStyle w:val="4"/>
        <w:bidi w:val="0"/>
        <w:jc w:val="center"/>
        <w:rPr>
          <w:rFonts w:hint="eastAsia" w:ascii="仿宋_GB2312" w:hAnsi="仿宋_GB2312" w:eastAsia="仿宋_GB2312" w:cs="仿宋_GB2312"/>
          <w:b/>
          <w:bCs/>
          <w:color w:val="auto"/>
          <w:highlight w:val="none"/>
        </w:rPr>
      </w:pPr>
      <w:bookmarkStart w:id="453" w:name="_Toc12043"/>
      <w:r>
        <w:rPr>
          <w:rFonts w:hint="eastAsia" w:ascii="仿宋_GB2312" w:hAnsi="仿宋_GB2312" w:eastAsia="仿宋_GB2312" w:cs="仿宋_GB2312"/>
          <w:b/>
          <w:bCs/>
          <w:color w:val="auto"/>
          <w:highlight w:val="none"/>
        </w:rPr>
        <w:t>第一部分  身份证明文件</w:t>
      </w:r>
      <w:bookmarkEnd w:id="453"/>
    </w:p>
    <w:p>
      <w:pPr>
        <w:spacing w:after="120"/>
        <w:rPr>
          <w:rFonts w:hint="default" w:ascii="Times New Roman" w:hAnsi="Times New Roman" w:eastAsia="仿宋_GB2312" w:cs="Times New Roman"/>
          <w:i w:val="0"/>
          <w:iCs w:val="0"/>
          <w:color w:val="auto"/>
          <w:highlight w:val="none"/>
        </w:rPr>
      </w:pPr>
    </w:p>
    <w:p>
      <w:pPr>
        <w:widowControl/>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zh-CN"/>
        </w:rPr>
        <w:t>1、法定代表人（或单位负责人）授权</w:t>
      </w:r>
      <w:r>
        <w:rPr>
          <w:rFonts w:hint="eastAsia" w:ascii="仿宋" w:hAnsi="仿宋" w:eastAsia="仿宋" w:cs="仿宋"/>
          <w:b/>
          <w:bCs/>
          <w:i w:val="0"/>
          <w:iCs w:val="0"/>
          <w:color w:val="auto"/>
          <w:sz w:val="21"/>
          <w:szCs w:val="21"/>
          <w:highlight w:val="none"/>
          <w:lang w:val="en-US" w:eastAsia="zh-CN"/>
        </w:rPr>
        <w:t>委托</w:t>
      </w:r>
      <w:r>
        <w:rPr>
          <w:rFonts w:hint="eastAsia" w:ascii="仿宋" w:hAnsi="仿宋" w:eastAsia="仿宋" w:cs="仿宋"/>
          <w:b/>
          <w:bCs/>
          <w:i w:val="0"/>
          <w:iCs w:val="0"/>
          <w:color w:val="auto"/>
          <w:sz w:val="21"/>
          <w:szCs w:val="21"/>
          <w:highlight w:val="none"/>
          <w:lang w:val="zh-CN"/>
        </w:rPr>
        <w:t>书</w:t>
      </w:r>
    </w:p>
    <w:p>
      <w:pPr>
        <w:autoSpaceDE w:val="0"/>
        <w:autoSpaceDN w:val="0"/>
        <w:adjustRightInd w:val="0"/>
        <w:spacing w:line="348" w:lineRule="auto"/>
        <w:ind w:firstLine="400"/>
        <w:rPr>
          <w:rFonts w:hint="eastAsia" w:ascii="仿宋" w:hAnsi="仿宋" w:eastAsia="仿宋" w:cs="仿宋"/>
          <w:b/>
          <w:bCs/>
          <w:i w:val="0"/>
          <w:iCs w:val="0"/>
          <w:color w:val="auto"/>
          <w:sz w:val="21"/>
          <w:szCs w:val="21"/>
          <w:highlight w:val="none"/>
        </w:rPr>
      </w:pPr>
    </w:p>
    <w:p>
      <w:pPr>
        <w:autoSpaceDE w:val="0"/>
        <w:autoSpaceDN w:val="0"/>
        <w:adjustRightInd w:val="0"/>
        <w:spacing w:line="348"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陕西中医药大学第二附属医院</w:t>
      </w:r>
      <w:r>
        <w:rPr>
          <w:rFonts w:hint="eastAsia" w:ascii="仿宋" w:hAnsi="仿宋" w:eastAsia="仿宋" w:cs="仿宋"/>
          <w:i w:val="0"/>
          <w:iCs w:val="0"/>
          <w:color w:val="auto"/>
          <w:sz w:val="21"/>
          <w:szCs w:val="21"/>
          <w:highlight w:val="none"/>
          <w:lang w:val="zh-CN"/>
        </w:rPr>
        <w:t>：</w:t>
      </w:r>
    </w:p>
    <w:p>
      <w:pPr>
        <w:autoSpaceDE w:val="0"/>
        <w:autoSpaceDN w:val="0"/>
        <w:adjustRightInd w:val="0"/>
        <w:spacing w:line="348" w:lineRule="auto"/>
        <w:ind w:firstLine="64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注册于</w:t>
      </w:r>
      <w:r>
        <w:rPr>
          <w:rFonts w:hint="eastAsia" w:ascii="仿宋" w:hAnsi="仿宋" w:eastAsia="仿宋" w:cs="仿宋"/>
          <w:i w:val="0"/>
          <w:iCs w:val="0"/>
          <w:color w:val="auto"/>
          <w:sz w:val="21"/>
          <w:szCs w:val="21"/>
          <w:highlight w:val="none"/>
          <w:u w:val="single"/>
          <w:lang w:val="zh-CN"/>
        </w:rPr>
        <w:t>（工商行政管理局名称）</w:t>
      </w:r>
      <w:r>
        <w:rPr>
          <w:rFonts w:hint="eastAsia" w:ascii="仿宋" w:hAnsi="仿宋" w:eastAsia="仿宋" w:cs="仿宋"/>
          <w:i w:val="0"/>
          <w:iCs w:val="0"/>
          <w:color w:val="auto"/>
          <w:sz w:val="21"/>
          <w:szCs w:val="21"/>
          <w:highlight w:val="none"/>
          <w:lang w:val="zh-CN"/>
        </w:rPr>
        <w:t>之</w:t>
      </w:r>
      <w:r>
        <w:rPr>
          <w:rFonts w:hint="eastAsia" w:ascii="仿宋" w:hAnsi="仿宋" w:eastAsia="仿宋" w:cs="仿宋"/>
          <w:i w:val="0"/>
          <w:iCs w:val="0"/>
          <w:color w:val="auto"/>
          <w:sz w:val="21"/>
          <w:szCs w:val="21"/>
          <w:highlight w:val="none"/>
          <w:u w:val="single"/>
          <w:lang w:val="zh-CN"/>
        </w:rPr>
        <w:t>（供应商全称）</w:t>
      </w:r>
      <w:r>
        <w:rPr>
          <w:rFonts w:hint="eastAsia" w:ascii="仿宋" w:hAnsi="仿宋" w:eastAsia="仿宋" w:cs="仿宋"/>
          <w:i w:val="0"/>
          <w:iCs w:val="0"/>
          <w:color w:val="auto"/>
          <w:sz w:val="21"/>
          <w:szCs w:val="21"/>
          <w:highlight w:val="none"/>
          <w:lang w:val="zh-CN"/>
        </w:rPr>
        <w:t>法人代表</w:t>
      </w:r>
      <w:r>
        <w:rPr>
          <w:rFonts w:hint="eastAsia" w:ascii="仿宋" w:hAnsi="仿宋" w:eastAsia="仿宋" w:cs="仿宋"/>
          <w:i w:val="0"/>
          <w:iCs w:val="0"/>
          <w:color w:val="auto"/>
          <w:sz w:val="21"/>
          <w:szCs w:val="21"/>
          <w:highlight w:val="none"/>
          <w:u w:val="single"/>
          <w:lang w:val="zh-CN"/>
        </w:rPr>
        <w:t>（姓名、职务）</w:t>
      </w:r>
      <w:r>
        <w:rPr>
          <w:rFonts w:hint="eastAsia" w:ascii="仿宋" w:hAnsi="仿宋" w:eastAsia="仿宋" w:cs="仿宋"/>
          <w:i w:val="0"/>
          <w:iCs w:val="0"/>
          <w:color w:val="auto"/>
          <w:sz w:val="21"/>
          <w:szCs w:val="21"/>
          <w:highlight w:val="none"/>
          <w:lang w:val="zh-CN"/>
        </w:rPr>
        <w:t>授权</w:t>
      </w:r>
      <w:r>
        <w:rPr>
          <w:rFonts w:hint="eastAsia" w:ascii="仿宋" w:hAnsi="仿宋" w:eastAsia="仿宋" w:cs="仿宋"/>
          <w:i w:val="0"/>
          <w:iCs w:val="0"/>
          <w:color w:val="auto"/>
          <w:sz w:val="21"/>
          <w:szCs w:val="21"/>
          <w:highlight w:val="none"/>
          <w:u w:val="single"/>
          <w:lang w:val="zh-CN"/>
        </w:rPr>
        <w:t>（被授权人姓名、职务）</w:t>
      </w:r>
      <w:r>
        <w:rPr>
          <w:rFonts w:hint="eastAsia" w:ascii="仿宋" w:hAnsi="仿宋" w:eastAsia="仿宋" w:cs="仿宋"/>
          <w:i w:val="0"/>
          <w:iCs w:val="0"/>
          <w:color w:val="auto"/>
          <w:sz w:val="21"/>
          <w:szCs w:val="21"/>
          <w:highlight w:val="none"/>
          <w:lang w:val="zh-CN"/>
        </w:rPr>
        <w:t>为本公司的合法代理人，就</w:t>
      </w:r>
      <w:r>
        <w:rPr>
          <w:rFonts w:hint="eastAsia" w:ascii="仿宋" w:hAnsi="仿宋" w:eastAsia="仿宋" w:cs="仿宋"/>
          <w:i w:val="0"/>
          <w:iCs w:val="0"/>
          <w:color w:val="auto"/>
          <w:sz w:val="21"/>
          <w:szCs w:val="21"/>
          <w:highlight w:val="none"/>
          <w:u w:val="single"/>
          <w:lang w:val="zh-CN"/>
        </w:rPr>
        <w:t>（项目名称）</w:t>
      </w:r>
      <w:r>
        <w:rPr>
          <w:rFonts w:hint="eastAsia" w:ascii="仿宋" w:hAnsi="仿宋" w:eastAsia="仿宋" w:cs="仿宋"/>
          <w:i w:val="0"/>
          <w:iCs w:val="0"/>
          <w:color w:val="auto"/>
          <w:sz w:val="21"/>
          <w:szCs w:val="21"/>
          <w:highlight w:val="none"/>
          <w:lang w:val="zh-CN"/>
        </w:rPr>
        <w:t>的磋商及合同的执行和完成，以本公司的名义处理一切与之有关的事宜。</w:t>
      </w:r>
    </w:p>
    <w:p>
      <w:pPr>
        <w:snapToGrid w:val="0"/>
        <w:spacing w:line="360" w:lineRule="auto"/>
        <w:ind w:firstLine="420" w:firstLineChars="200"/>
        <w:rPr>
          <w:rFonts w:hint="eastAsia" w:ascii="仿宋" w:hAnsi="仿宋" w:eastAsia="仿宋" w:cs="仿宋"/>
          <w:b/>
          <w:bCs/>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本授权自    年   月  日起生效。（</w:t>
      </w:r>
      <w:r>
        <w:rPr>
          <w:rFonts w:hint="eastAsia" w:ascii="仿宋" w:hAnsi="仿宋" w:eastAsia="仿宋" w:cs="仿宋"/>
          <w:b/>
          <w:i w:val="0"/>
          <w:iCs w:val="0"/>
          <w:color w:val="auto"/>
          <w:sz w:val="21"/>
          <w:szCs w:val="21"/>
          <w:highlight w:val="none"/>
          <w:lang w:val="zh-CN"/>
        </w:rPr>
        <w:t>提示：此日期不应晚于磋商响应函签署日期</w:t>
      </w:r>
      <w:r>
        <w:rPr>
          <w:rFonts w:hint="eastAsia" w:ascii="仿宋" w:hAnsi="仿宋" w:eastAsia="仿宋" w:cs="仿宋"/>
          <w:i w:val="0"/>
          <w:iCs w:val="0"/>
          <w:color w:val="auto"/>
          <w:sz w:val="21"/>
          <w:szCs w:val="21"/>
          <w:highlight w:val="none"/>
          <w:lang w:val="zh-CN"/>
        </w:rPr>
        <w:t>）</w:t>
      </w:r>
    </w:p>
    <w:p>
      <w:pPr>
        <w:autoSpaceDE w:val="0"/>
        <w:autoSpaceDN w:val="0"/>
        <w:adjustRightInd w:val="0"/>
        <w:spacing w:line="348" w:lineRule="auto"/>
        <w:rPr>
          <w:rFonts w:hint="eastAsia" w:ascii="仿宋" w:hAnsi="仿宋" w:eastAsia="仿宋" w:cs="仿宋"/>
          <w:i w:val="0"/>
          <w:iCs w:val="0"/>
          <w:color w:val="auto"/>
          <w:sz w:val="21"/>
          <w:szCs w:val="21"/>
          <w:highlight w:val="none"/>
        </w:rPr>
      </w:pPr>
    </w:p>
    <w:p>
      <w:pPr>
        <w:autoSpaceDE w:val="0"/>
        <w:autoSpaceDN w:val="0"/>
        <w:adjustRightInd w:val="0"/>
        <w:spacing w:line="348" w:lineRule="auto"/>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附：被授权人姓名：</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性别：</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年龄：</w:t>
      </w:r>
      <w:r>
        <w:rPr>
          <w:rFonts w:hint="eastAsia" w:ascii="仿宋" w:hAnsi="仿宋" w:eastAsia="仿宋" w:cs="仿宋"/>
          <w:i w:val="0"/>
          <w:iCs w:val="0"/>
          <w:color w:val="auto"/>
          <w:sz w:val="21"/>
          <w:szCs w:val="21"/>
          <w:highlight w:val="none"/>
          <w:u w:val="single"/>
          <w:lang w:val="en-US" w:eastAsia="zh-CN"/>
        </w:rPr>
        <w:t xml:space="preserve">              </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职</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务：</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身份证号码：</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通讯地址：</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邮政编码：</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电</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话：</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传真：</w:t>
      </w:r>
      <w:r>
        <w:rPr>
          <w:rFonts w:hint="eastAsia" w:ascii="仿宋" w:hAnsi="仿宋" w:eastAsia="仿宋" w:cs="仿宋"/>
          <w:i w:val="0"/>
          <w:iCs w:val="0"/>
          <w:color w:val="auto"/>
          <w:sz w:val="21"/>
          <w:szCs w:val="21"/>
          <w:highlight w:val="none"/>
          <w:u w:val="single"/>
        </w:rPr>
        <w:t xml:space="preserve">           </w:t>
      </w:r>
    </w:p>
    <w:p>
      <w:pPr>
        <w:autoSpaceDE w:val="0"/>
        <w:autoSpaceDN w:val="0"/>
        <w:adjustRightInd w:val="0"/>
        <w:spacing w:line="348" w:lineRule="auto"/>
        <w:rPr>
          <w:rFonts w:hint="eastAsia" w:ascii="仿宋" w:hAnsi="仿宋" w:eastAsia="仿宋" w:cs="仿宋"/>
          <w:i w:val="0"/>
          <w:iCs w:val="0"/>
          <w:color w:val="auto"/>
          <w:sz w:val="21"/>
          <w:szCs w:val="21"/>
          <w:highlight w:val="none"/>
        </w:rPr>
      </w:pPr>
    </w:p>
    <w:p>
      <w:pPr>
        <w:autoSpaceDE w:val="0"/>
        <w:autoSpaceDN w:val="0"/>
        <w:adjustRightInd w:val="0"/>
        <w:spacing w:line="348"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法定代表人</w:t>
      </w:r>
      <w:r>
        <w:rPr>
          <w:rFonts w:hint="eastAsia" w:ascii="仿宋" w:hAnsi="仿宋" w:eastAsia="仿宋" w:cs="仿宋"/>
          <w:i w:val="0"/>
          <w:iCs w:val="0"/>
          <w:color w:val="auto"/>
          <w:sz w:val="21"/>
          <w:szCs w:val="21"/>
          <w:highlight w:val="none"/>
        </w:rPr>
        <w:t>及</w:t>
      </w:r>
      <w:r>
        <w:rPr>
          <w:rFonts w:hint="eastAsia" w:ascii="仿宋" w:hAnsi="仿宋" w:eastAsia="仿宋" w:cs="仿宋"/>
          <w:i w:val="0"/>
          <w:iCs w:val="0"/>
          <w:color w:val="auto"/>
          <w:sz w:val="21"/>
          <w:szCs w:val="21"/>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法定代表人身份证复印件</w:t>
            </w:r>
          </w:p>
          <w:p>
            <w:pPr>
              <w:autoSpaceDE w:val="0"/>
              <w:autoSpaceDN w:val="0"/>
              <w:adjustRightInd w:val="0"/>
              <w:spacing w:line="348" w:lineRule="auto"/>
              <w:jc w:val="center"/>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授权代表身份证复印件</w:t>
            </w:r>
          </w:p>
          <w:p>
            <w:pPr>
              <w:autoSpaceDE w:val="0"/>
              <w:autoSpaceDN w:val="0"/>
              <w:adjustRightInd w:val="0"/>
              <w:spacing w:line="348" w:lineRule="auto"/>
              <w:jc w:val="center"/>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lang w:val="zh-CN"/>
              </w:rPr>
              <w:t>（正反面）</w:t>
            </w:r>
          </w:p>
        </w:tc>
      </w:tr>
    </w:tbl>
    <w:p>
      <w:pPr>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w:t>
      </w:r>
    </w:p>
    <w:p>
      <w:pPr>
        <w:adjustRightInd w:val="0"/>
        <w:snapToGrid w:val="0"/>
        <w:spacing w:line="360" w:lineRule="auto"/>
        <w:rPr>
          <w:rFonts w:hint="eastAsia" w:ascii="仿宋" w:hAnsi="仿宋" w:eastAsia="仿宋" w:cs="仿宋"/>
          <w:i w:val="0"/>
          <w:iCs w:val="0"/>
          <w:color w:val="auto"/>
          <w:sz w:val="21"/>
          <w:szCs w:val="21"/>
          <w:highlight w:val="none"/>
        </w:rPr>
      </w:pPr>
    </w:p>
    <w:p>
      <w:pPr>
        <w:adjustRightInd w:val="0"/>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                         法定代表人</w:t>
      </w:r>
    </w:p>
    <w:p>
      <w:pPr>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（公章）：                    （签字</w:t>
      </w:r>
      <w:r>
        <w:rPr>
          <w:rFonts w:hint="eastAsia" w:ascii="仿宋" w:hAnsi="仿宋" w:eastAsia="仿宋" w:cs="仿宋"/>
          <w:i w:val="0"/>
          <w:iCs w:val="0"/>
          <w:color w:val="auto"/>
          <w:sz w:val="21"/>
          <w:szCs w:val="21"/>
          <w:highlight w:val="none"/>
          <w:lang w:eastAsia="zh-CN"/>
        </w:rPr>
        <w:t>或盖章</w:t>
      </w:r>
      <w:r>
        <w:rPr>
          <w:rFonts w:hint="eastAsia" w:ascii="仿宋" w:hAnsi="仿宋" w:eastAsia="仿宋" w:cs="仿宋"/>
          <w:i w:val="0"/>
          <w:iCs w:val="0"/>
          <w:color w:val="auto"/>
          <w:sz w:val="21"/>
          <w:szCs w:val="21"/>
          <w:highlight w:val="none"/>
        </w:rPr>
        <w:t>）：</w:t>
      </w:r>
    </w:p>
    <w:p>
      <w:pPr>
        <w:spacing w:after="120"/>
        <w:rPr>
          <w:rFonts w:hint="default" w:ascii="Times New Roman" w:hAnsi="Times New Roman" w:eastAsia="仿宋_GB2312" w:cs="Times New Roman"/>
          <w:i w:val="0"/>
          <w:iCs w:val="0"/>
          <w:color w:val="auto"/>
          <w:highlight w:val="none"/>
        </w:rPr>
      </w:pPr>
      <w:r>
        <w:rPr>
          <w:rFonts w:hint="default" w:ascii="Times New Roman" w:hAnsi="Times New Roman" w:eastAsia="仿宋_GB2312" w:cs="Times New Roman"/>
          <w:i w:val="0"/>
          <w:iCs w:val="0"/>
          <w:color w:val="auto"/>
          <w:highlight w:val="none"/>
        </w:rPr>
        <w:br w:type="page"/>
      </w:r>
    </w:p>
    <w:p>
      <w:pPr>
        <w:autoSpaceDE w:val="0"/>
        <w:autoSpaceDN w:val="0"/>
        <w:adjustRightInd w:val="0"/>
        <w:jc w:val="center"/>
        <w:rPr>
          <w:rFonts w:hint="default" w:ascii="Times New Roman" w:hAnsi="Times New Roman" w:eastAsia="仿宋_GB2312" w:cs="Times New Roman"/>
          <w:b/>
          <w:i w:val="0"/>
          <w:iCs w:val="0"/>
          <w:color w:val="auto"/>
          <w:kern w:val="0"/>
          <w:sz w:val="28"/>
          <w:szCs w:val="28"/>
          <w:highlight w:val="none"/>
        </w:rPr>
      </w:pPr>
    </w:p>
    <w:p>
      <w:pPr>
        <w:autoSpaceDE w:val="0"/>
        <w:autoSpaceDN w:val="0"/>
        <w:adjustRightInd w:val="0"/>
        <w:jc w:val="center"/>
        <w:rPr>
          <w:rFonts w:hint="default" w:ascii="Times New Roman" w:hAnsi="Times New Roman" w:eastAsia="仿宋_GB2312" w:cs="Times New Roman"/>
          <w:b/>
          <w:i w:val="0"/>
          <w:iCs w:val="0"/>
          <w:color w:val="auto"/>
          <w:kern w:val="0"/>
          <w:sz w:val="28"/>
          <w:szCs w:val="28"/>
          <w:highlight w:val="none"/>
        </w:rPr>
      </w:pPr>
      <w:r>
        <w:rPr>
          <w:rFonts w:hint="default" w:ascii="Times New Roman" w:hAnsi="Times New Roman" w:eastAsia="仿宋_GB2312" w:cs="Times New Roman"/>
          <w:b/>
          <w:i w:val="0"/>
          <w:iCs w:val="0"/>
          <w:color w:val="auto"/>
          <w:kern w:val="0"/>
          <w:sz w:val="28"/>
          <w:szCs w:val="28"/>
          <w:highlight w:val="none"/>
        </w:rPr>
        <w:t>2、法定代表人</w:t>
      </w:r>
      <w:r>
        <w:rPr>
          <w:rFonts w:hint="default" w:ascii="Times New Roman" w:hAnsi="Times New Roman" w:eastAsia="仿宋_GB2312" w:cs="Times New Roman"/>
          <w:b/>
          <w:bCs/>
          <w:i w:val="0"/>
          <w:iCs w:val="0"/>
          <w:color w:val="auto"/>
          <w:sz w:val="32"/>
          <w:szCs w:val="32"/>
          <w:highlight w:val="none"/>
          <w:lang w:val="zh-CN"/>
        </w:rPr>
        <w:t>（单位负责人）</w:t>
      </w:r>
      <w:r>
        <w:rPr>
          <w:rFonts w:hint="default" w:ascii="Times New Roman" w:hAnsi="Times New Roman" w:eastAsia="仿宋_GB2312" w:cs="Times New Roman"/>
          <w:b/>
          <w:i w:val="0"/>
          <w:iCs w:val="0"/>
          <w:color w:val="auto"/>
          <w:kern w:val="0"/>
          <w:sz w:val="28"/>
          <w:szCs w:val="28"/>
          <w:highlight w:val="none"/>
        </w:rPr>
        <w:t>身份证明</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4"/>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4"/>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供应商名称：</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 xml:space="preserve">单位性质： </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 xml:space="preserve">地    址： </w:t>
      </w:r>
      <w:r>
        <w:rPr>
          <w:rFonts w:hint="default" w:ascii="Times New Roman" w:hAnsi="Times New Roman" w:eastAsia="仿宋_GB2312" w:cs="Times New Roman"/>
          <w:i w:val="0"/>
          <w:iCs w:val="0"/>
          <w:color w:val="auto"/>
          <w:kern w:val="0"/>
          <w:sz w:val="21"/>
          <w:szCs w:val="21"/>
          <w:highlight w:val="none"/>
          <w:u w:val="single"/>
        </w:rPr>
        <w:t xml:space="preserve">                       </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成立时间：</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年</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月</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日</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经营期限：</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姓名：</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性别：</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年龄：</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 xml:space="preserve"> 职务：</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系</w:t>
      </w:r>
      <w:r>
        <w:rPr>
          <w:rFonts w:hint="default" w:ascii="Times New Roman" w:hAnsi="Times New Roman" w:eastAsia="仿宋_GB2312" w:cs="Times New Roman"/>
          <w:i w:val="0"/>
          <w:iCs w:val="0"/>
          <w:color w:val="auto"/>
          <w:kern w:val="0"/>
          <w:sz w:val="21"/>
          <w:szCs w:val="21"/>
          <w:highlight w:val="none"/>
          <w:u w:val="single"/>
        </w:rPr>
        <w:t xml:space="preserve">             </w:t>
      </w:r>
      <w:r>
        <w:rPr>
          <w:rFonts w:hint="default" w:ascii="Times New Roman" w:hAnsi="Times New Roman" w:eastAsia="仿宋_GB2312" w:cs="Times New Roman"/>
          <w:i w:val="0"/>
          <w:iCs w:val="0"/>
          <w:color w:val="auto"/>
          <w:kern w:val="0"/>
          <w:sz w:val="21"/>
          <w:szCs w:val="21"/>
          <w:highlight w:val="none"/>
        </w:rPr>
        <w:t>（投标人名称）的法定代表人。</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特此证明。</w:t>
      </w: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ind w:left="5399" w:leftChars="2571"/>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投标人：           （公章）</w:t>
      </w:r>
    </w:p>
    <w:p>
      <w:pPr>
        <w:autoSpaceDE w:val="0"/>
        <w:autoSpaceDN w:val="0"/>
        <w:adjustRightInd w:val="0"/>
        <w:spacing w:line="360" w:lineRule="auto"/>
        <w:ind w:left="5399" w:leftChars="2571"/>
        <w:jc w:val="left"/>
        <w:rPr>
          <w:rFonts w:hint="default" w:ascii="Times New Roman" w:hAnsi="Times New Roman" w:eastAsia="仿宋_GB2312" w:cs="Times New Roman"/>
          <w:i w:val="0"/>
          <w:iCs w:val="0"/>
          <w:color w:val="auto"/>
          <w:kern w:val="0"/>
          <w:sz w:val="21"/>
          <w:szCs w:val="21"/>
          <w:highlight w:val="none"/>
        </w:rPr>
      </w:pPr>
    </w:p>
    <w:p>
      <w:pPr>
        <w:autoSpaceDE w:val="0"/>
        <w:autoSpaceDN w:val="0"/>
        <w:adjustRightInd w:val="0"/>
        <w:spacing w:line="360" w:lineRule="auto"/>
        <w:ind w:left="6659" w:leftChars="3171"/>
        <w:jc w:val="left"/>
        <w:rPr>
          <w:rFonts w:hint="default" w:ascii="Times New Roman" w:hAnsi="Times New Roman" w:eastAsia="仿宋_GB2312" w:cs="Times New Roman"/>
          <w:i w:val="0"/>
          <w:iCs w:val="0"/>
          <w:color w:val="auto"/>
          <w:kern w:val="0"/>
          <w:sz w:val="21"/>
          <w:szCs w:val="21"/>
          <w:highlight w:val="none"/>
        </w:rPr>
      </w:pPr>
      <w:r>
        <w:rPr>
          <w:rFonts w:hint="default" w:ascii="Times New Roman" w:hAnsi="Times New Roman" w:eastAsia="仿宋_GB2312" w:cs="Times New Roman"/>
          <w:i w:val="0"/>
          <w:iCs w:val="0"/>
          <w:color w:val="auto"/>
          <w:kern w:val="0"/>
          <w:sz w:val="21"/>
          <w:szCs w:val="21"/>
          <w:highlight w:val="none"/>
        </w:rPr>
        <w:t>年  月  日</w:t>
      </w:r>
    </w:p>
    <w:p>
      <w:pPr>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br w:type="page"/>
      </w:r>
    </w:p>
    <w:p>
      <w:pPr>
        <w:jc w:val="center"/>
        <w:rPr>
          <w:rFonts w:hint="eastAsia" w:ascii="仿宋_GB2312" w:hAnsi="仿宋_GB2312" w:eastAsia="仿宋_GB2312" w:cs="仿宋_GB2312"/>
          <w:b/>
          <w:i w:val="0"/>
          <w:iCs w:val="0"/>
          <w:color w:val="auto"/>
          <w:sz w:val="28"/>
          <w:szCs w:val="28"/>
          <w:highlight w:val="none"/>
        </w:rPr>
      </w:pPr>
      <w:bookmarkStart w:id="454" w:name="_Toc60929129"/>
      <w:r>
        <w:rPr>
          <w:rFonts w:hint="eastAsia" w:ascii="仿宋_GB2312" w:hAnsi="仿宋_GB2312" w:eastAsia="仿宋_GB2312" w:cs="仿宋_GB2312"/>
          <w:b/>
          <w:i w:val="0"/>
          <w:iCs w:val="0"/>
          <w:color w:val="auto"/>
          <w:sz w:val="28"/>
          <w:szCs w:val="28"/>
          <w:highlight w:val="none"/>
        </w:rPr>
        <w:t>3、授权代表本单位证明</w:t>
      </w:r>
      <w:bookmarkEnd w:id="454"/>
    </w:p>
    <w:p>
      <w:pPr>
        <w:spacing w:after="120"/>
        <w:rPr>
          <w:i w:val="0"/>
          <w:iCs w:val="0"/>
          <w:color w:val="auto"/>
          <w:highlight w:val="none"/>
        </w:rPr>
      </w:pPr>
    </w:p>
    <w:p>
      <w:pPr>
        <w:autoSpaceDE w:val="0"/>
        <w:autoSpaceDN w:val="0"/>
        <w:adjustRightInd w:val="0"/>
        <w:spacing w:line="348" w:lineRule="auto"/>
        <w:jc w:val="center"/>
        <w:rPr>
          <w:rFonts w:hint="eastAsia" w:ascii="仿宋" w:hAnsi="仿宋" w:eastAsia="仿宋"/>
          <w:i w:val="0"/>
          <w:iCs w:val="0"/>
          <w:color w:val="auto"/>
          <w:sz w:val="21"/>
          <w:szCs w:val="21"/>
          <w:highlight w:val="none"/>
          <w:lang w:val="zh-CN"/>
        </w:rPr>
      </w:pPr>
      <w:r>
        <w:rPr>
          <w:rFonts w:hint="eastAsia" w:ascii="仿宋" w:hAnsi="仿宋" w:eastAsia="仿宋"/>
          <w:i w:val="0"/>
          <w:iCs w:val="0"/>
          <w:color w:val="auto"/>
          <w:sz w:val="21"/>
          <w:szCs w:val="21"/>
          <w:highlight w:val="none"/>
          <w:lang w:val="zh-CN"/>
        </w:rPr>
        <w:t>（</w:t>
      </w:r>
      <w:r>
        <w:rPr>
          <w:rFonts w:hint="eastAsia" w:ascii="仿宋" w:hAnsi="仿宋" w:eastAsia="仿宋"/>
          <w:i w:val="0"/>
          <w:iCs w:val="0"/>
          <w:color w:val="auto"/>
          <w:sz w:val="21"/>
          <w:szCs w:val="21"/>
          <w:highlight w:val="none"/>
        </w:rPr>
        <w:t>养老保险缴纳证明或劳动合同复印件</w:t>
      </w:r>
      <w:r>
        <w:rPr>
          <w:rFonts w:hint="eastAsia" w:ascii="仿宋" w:hAnsi="仿宋" w:eastAsia="仿宋"/>
          <w:i w:val="0"/>
          <w:iCs w:val="0"/>
          <w:color w:val="auto"/>
          <w:sz w:val="21"/>
          <w:szCs w:val="21"/>
          <w:highlight w:val="none"/>
          <w:lang w:val="zh-CN"/>
        </w:rPr>
        <w:t>）</w:t>
      </w:r>
    </w:p>
    <w:p>
      <w:pPr>
        <w:autoSpaceDE w:val="0"/>
        <w:autoSpaceDN w:val="0"/>
        <w:adjustRightInd w:val="0"/>
        <w:spacing w:line="348" w:lineRule="auto"/>
        <w:jc w:val="center"/>
        <w:rPr>
          <w:rFonts w:hint="eastAsia" w:ascii="仿宋" w:hAnsi="仿宋" w:eastAsia="仿宋"/>
          <w:i w:val="0"/>
          <w:iCs w:val="0"/>
          <w:color w:val="auto"/>
          <w:sz w:val="28"/>
          <w:szCs w:val="28"/>
          <w:highlight w:val="none"/>
          <w:lang w:val="zh-CN"/>
        </w:rPr>
      </w:pPr>
    </w:p>
    <w:p>
      <w:pPr>
        <w:autoSpaceDE w:val="0"/>
        <w:autoSpaceDN w:val="0"/>
        <w:adjustRightInd w:val="0"/>
        <w:spacing w:line="348" w:lineRule="auto"/>
        <w:jc w:val="center"/>
        <w:rPr>
          <w:rFonts w:hint="eastAsia" w:ascii="仿宋" w:hAnsi="仿宋" w:eastAsia="仿宋"/>
          <w:i w:val="0"/>
          <w:iCs w:val="0"/>
          <w:color w:val="auto"/>
          <w:sz w:val="28"/>
          <w:szCs w:val="28"/>
          <w:highlight w:val="none"/>
          <w:lang w:val="zh-CN"/>
        </w:rPr>
      </w:pPr>
    </w:p>
    <w:p>
      <w:pPr>
        <w:autoSpaceDE w:val="0"/>
        <w:autoSpaceDN w:val="0"/>
        <w:adjustRightInd w:val="0"/>
        <w:spacing w:line="348" w:lineRule="auto"/>
        <w:jc w:val="center"/>
        <w:rPr>
          <w:rFonts w:hint="eastAsia" w:ascii="仿宋" w:hAnsi="仿宋" w:eastAsia="仿宋"/>
          <w:i w:val="0"/>
          <w:iCs w:val="0"/>
          <w:color w:val="auto"/>
          <w:sz w:val="28"/>
          <w:szCs w:val="28"/>
          <w:highlight w:val="none"/>
          <w:lang w:val="zh-CN"/>
        </w:rPr>
      </w:pPr>
    </w:p>
    <w:p>
      <w:pPr>
        <w:pStyle w:val="24"/>
        <w:rPr>
          <w:rFonts w:hint="default"/>
          <w:i w:val="0"/>
          <w:iCs w:val="0"/>
          <w:color w:val="auto"/>
          <w:highlight w:val="none"/>
        </w:rPr>
      </w:pPr>
    </w:p>
    <w:p>
      <w:pPr>
        <w:widowControl/>
        <w:ind w:firstLine="161" w:firstLineChars="50"/>
        <w:jc w:val="left"/>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 xml:space="preserve"> </w:t>
      </w:r>
    </w:p>
    <w:p>
      <w:pPr>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br w:type="page"/>
      </w:r>
    </w:p>
    <w:p>
      <w:pPr>
        <w:pStyle w:val="24"/>
        <w:rPr>
          <w:rFonts w:hint="default"/>
          <w:i w:val="0"/>
          <w:iCs w:val="0"/>
          <w:color w:val="auto"/>
          <w:highlight w:val="none"/>
        </w:rPr>
      </w:pPr>
    </w:p>
    <w:p>
      <w:pPr>
        <w:pStyle w:val="4"/>
        <w:bidi w:val="0"/>
        <w:jc w:val="center"/>
        <w:rPr>
          <w:rFonts w:hint="default" w:ascii="仿宋_GB2312" w:hAnsi="仿宋_GB2312" w:eastAsia="仿宋_GB2312" w:cs="仿宋_GB2312"/>
          <w:b/>
          <w:bCs/>
          <w:color w:val="auto"/>
          <w:highlight w:val="none"/>
        </w:rPr>
      </w:pPr>
      <w:bookmarkStart w:id="455" w:name="_Toc9814"/>
      <w:r>
        <w:rPr>
          <w:rFonts w:hint="default" w:ascii="仿宋_GB2312" w:hAnsi="仿宋_GB2312" w:eastAsia="仿宋_GB2312" w:cs="仿宋_GB2312"/>
          <w:b/>
          <w:bCs/>
          <w:color w:val="auto"/>
          <w:highlight w:val="none"/>
        </w:rPr>
        <w:t>第二部分  资格证明文件</w:t>
      </w:r>
      <w:bookmarkEnd w:id="455"/>
    </w:p>
    <w:p>
      <w:pPr>
        <w:spacing w:after="120"/>
        <w:rPr>
          <w:rFonts w:hint="default" w:ascii="Times New Roman" w:hAnsi="Times New Roman" w:eastAsia="仿宋_GB2312" w:cs="Times New Roman"/>
          <w:i w:val="0"/>
          <w:iCs w:val="0"/>
          <w:color w:val="auto"/>
          <w:highlight w:val="none"/>
        </w:rPr>
      </w:pPr>
    </w:p>
    <w:p>
      <w:pPr>
        <w:numPr>
          <w:ilvl w:val="1"/>
          <w:numId w:val="17"/>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供应商的企业法人营业执照副本复印件（格式要求见附件6-1）；</w:t>
      </w:r>
    </w:p>
    <w:p>
      <w:pPr>
        <w:numPr>
          <w:ilvl w:val="1"/>
          <w:numId w:val="17"/>
        </w:numPr>
        <w:tabs>
          <w:tab w:val="left" w:pos="993"/>
          <w:tab w:val="left" w:pos="1030"/>
          <w:tab w:val="left" w:pos="8364"/>
        </w:tabs>
        <w:snapToGrid w:val="0"/>
        <w:spacing w:after="120" w:afterLines="50" w:line="360" w:lineRule="auto"/>
        <w:ind w:left="833" w:leftChars="0" w:right="-57" w:rightChars="-27" w:hanging="413" w:firstLineChars="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w:t>
      </w:r>
      <w:r>
        <w:rPr>
          <w:rFonts w:hint="eastAsia" w:ascii="仿宋" w:hAnsi="仿宋" w:eastAsia="仿宋" w:cs="仿宋"/>
          <w:i w:val="0"/>
          <w:iCs w:val="0"/>
          <w:color w:val="auto"/>
          <w:sz w:val="21"/>
          <w:szCs w:val="21"/>
          <w:highlight w:val="none"/>
          <w:lang w:val="en-US" w:eastAsia="zh-CN"/>
        </w:rPr>
        <w:t>2022</w:t>
      </w:r>
      <w:r>
        <w:rPr>
          <w:rFonts w:hint="eastAsia" w:ascii="仿宋" w:hAnsi="仿宋" w:eastAsia="仿宋" w:cs="仿宋"/>
          <w:i w:val="0"/>
          <w:iCs w:val="0"/>
          <w:color w:val="auto"/>
          <w:sz w:val="21"/>
          <w:szCs w:val="21"/>
          <w:highlight w:val="none"/>
        </w:rPr>
        <w:t>年度经审计的财务报表复印件（包括资产负债表、现金流量表、利润表），或本年度基本开户银行出具的资信证明（格式要求见附件6-2）；</w:t>
      </w:r>
    </w:p>
    <w:p>
      <w:pPr>
        <w:spacing w:after="12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依法缴纳税收和社会保障资金的证明材料复印件（格式见附件6-3、6-4）</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具备履行合同所必需的设备和专业技术能力的承诺原件（格式见附件6-5）；</w:t>
      </w:r>
    </w:p>
    <w:p>
      <w:pPr>
        <w:numPr>
          <w:ilvl w:val="1"/>
          <w:numId w:val="17"/>
        </w:numPr>
        <w:tabs>
          <w:tab w:val="left" w:pos="420"/>
          <w:tab w:val="left" w:pos="8364"/>
        </w:tabs>
        <w:snapToGrid w:val="0"/>
        <w:spacing w:after="120" w:afterLines="50" w:line="360" w:lineRule="auto"/>
        <w:ind w:left="853" w:leftChars="0" w:right="-57" w:rightChars="-27" w:hanging="433" w:firstLineChars="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供应商参加政府采购活动前3年内在经营活动中没有重大违法记录的书面声明原件（格式见附件6-6）</w:t>
      </w:r>
    </w:p>
    <w:p>
      <w:pPr>
        <w:numPr>
          <w:ilvl w:val="1"/>
          <w:numId w:val="17"/>
        </w:numPr>
        <w:tabs>
          <w:tab w:val="left" w:pos="220"/>
          <w:tab w:val="left" w:pos="8364"/>
        </w:tabs>
        <w:snapToGrid w:val="0"/>
        <w:spacing w:after="120" w:afterLines="50" w:line="360" w:lineRule="auto"/>
        <w:ind w:left="853" w:leftChars="0" w:right="-57" w:rightChars="-27" w:hanging="433" w:firstLineChars="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证明供应商符合特定资格条件的证明材料；（格式见附件6-</w:t>
      </w:r>
      <w:r>
        <w:rPr>
          <w:rFonts w:hint="eastAsia" w:ascii="仿宋" w:hAnsi="仿宋" w:eastAsia="仿宋" w:cs="仿宋"/>
          <w:i w:val="0"/>
          <w:iCs w:val="0"/>
          <w:color w:val="auto"/>
          <w:sz w:val="21"/>
          <w:szCs w:val="21"/>
          <w:highlight w:val="none"/>
          <w:lang w:val="en-US" w:eastAsia="zh-CN"/>
        </w:rPr>
        <w:t>7</w:t>
      </w:r>
      <w:r>
        <w:rPr>
          <w:rFonts w:hint="eastAsia" w:ascii="仿宋" w:hAnsi="仿宋" w:eastAsia="仿宋" w:cs="仿宋"/>
          <w:i w:val="0"/>
          <w:iCs w:val="0"/>
          <w:color w:val="auto"/>
          <w:sz w:val="21"/>
          <w:szCs w:val="21"/>
          <w:highlight w:val="none"/>
        </w:rPr>
        <w:t>)</w:t>
      </w:r>
    </w:p>
    <w:p>
      <w:pPr>
        <w:spacing w:after="120"/>
        <w:ind w:left="780"/>
        <w:rPr>
          <w:rFonts w:hint="eastAsia" w:ascii="仿宋" w:hAnsi="仿宋" w:eastAsia="仿宋" w:cs="仿宋"/>
          <w:i w:val="0"/>
          <w:iCs w:val="0"/>
          <w:color w:val="auto"/>
          <w:sz w:val="21"/>
          <w:szCs w:val="21"/>
          <w:highlight w:val="none"/>
        </w:rPr>
      </w:pPr>
    </w:p>
    <w:p>
      <w:pPr>
        <w:adjustRightInd w:val="0"/>
        <w:spacing w:line="360" w:lineRule="auto"/>
        <w:ind w:firstLine="420" w:firstLineChars="200"/>
        <w:jc w:val="left"/>
        <w:textAlignment w:val="baseline"/>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以上提供的扫描件、复印件必须加盖供应商公章。</w:t>
      </w:r>
    </w:p>
    <w:p>
      <w:pPr>
        <w:spacing w:after="12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br w:type="page"/>
      </w:r>
    </w:p>
    <w:p>
      <w:pPr>
        <w:adjustRightInd w:val="0"/>
        <w:spacing w:line="360" w:lineRule="auto"/>
        <w:ind w:firstLine="480" w:firstLineChars="200"/>
        <w:jc w:val="left"/>
        <w:textAlignment w:val="baseline"/>
        <w:rPr>
          <w:rFonts w:hint="default" w:ascii="Times New Roman" w:hAnsi="Times New Roman" w:eastAsia="仿宋_GB2312" w:cs="Times New Roman"/>
          <w:i w:val="0"/>
          <w:iCs w:val="0"/>
          <w:color w:val="auto"/>
          <w:sz w:val="24"/>
          <w:highlight w:val="none"/>
        </w:rPr>
      </w:pPr>
    </w:p>
    <w:p>
      <w:pPr>
        <w:jc w:val="left"/>
        <w:outlineLvl w:val="2"/>
        <w:rPr>
          <w:rFonts w:hint="eastAsia" w:ascii="仿宋" w:hAnsi="仿宋" w:eastAsia="仿宋" w:cs="仿宋"/>
          <w:b/>
          <w:i w:val="0"/>
          <w:iCs w:val="0"/>
          <w:color w:val="auto"/>
          <w:sz w:val="21"/>
          <w:szCs w:val="21"/>
          <w:highlight w:val="none"/>
        </w:rPr>
      </w:pPr>
      <w:bookmarkStart w:id="456" w:name="_Toc7005120"/>
      <w:r>
        <w:rPr>
          <w:rFonts w:hint="eastAsia" w:ascii="仿宋" w:hAnsi="仿宋" w:eastAsia="仿宋" w:cs="仿宋"/>
          <w:b/>
          <w:i w:val="0"/>
          <w:iCs w:val="0"/>
          <w:color w:val="auto"/>
          <w:sz w:val="21"/>
          <w:szCs w:val="21"/>
          <w:highlight w:val="none"/>
        </w:rPr>
        <w:t>6-1  供应商的企业法人营业执照副本复印件（加盖公章）</w:t>
      </w:r>
      <w:bookmarkEnd w:id="456"/>
    </w:p>
    <w:p>
      <w:pPr>
        <w:jc w:val="left"/>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right="-57" w:rightChars="-27"/>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i w:val="0"/>
          <w:iCs w:val="0"/>
          <w:color w:val="auto"/>
          <w:sz w:val="21"/>
          <w:szCs w:val="21"/>
          <w:highlight w:val="none"/>
        </w:rPr>
      </w:pPr>
    </w:p>
    <w:p>
      <w:pPr>
        <w:adjustRightInd w:val="0"/>
        <w:spacing w:line="360" w:lineRule="atLeast"/>
        <w:jc w:val="left"/>
        <w:textAlignment w:val="baseline"/>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 xml:space="preserve"> </w:t>
      </w:r>
    </w:p>
    <w:p>
      <w:pPr>
        <w:jc w:val="left"/>
        <w:outlineLvl w:val="2"/>
        <w:rPr>
          <w:rFonts w:hint="eastAsia" w:ascii="仿宋" w:hAnsi="仿宋" w:eastAsia="仿宋" w:cs="仿宋"/>
          <w:b/>
          <w:i w:val="0"/>
          <w:iCs w:val="0"/>
          <w:color w:val="auto"/>
          <w:sz w:val="21"/>
          <w:szCs w:val="21"/>
          <w:highlight w:val="none"/>
        </w:rPr>
      </w:pPr>
      <w:bookmarkStart w:id="457" w:name="_Ref527015333"/>
      <w:bookmarkStart w:id="458" w:name="_Toc7005121"/>
      <w:r>
        <w:rPr>
          <w:rFonts w:hint="eastAsia" w:ascii="仿宋" w:hAnsi="仿宋" w:eastAsia="仿宋" w:cs="仿宋"/>
          <w:b/>
          <w:i w:val="0"/>
          <w:iCs w:val="0"/>
          <w:color w:val="auto"/>
          <w:sz w:val="21"/>
          <w:szCs w:val="21"/>
          <w:highlight w:val="none"/>
        </w:rPr>
        <w:t xml:space="preserve">6-2  </w:t>
      </w:r>
      <w:r>
        <w:rPr>
          <w:rFonts w:hint="eastAsia" w:ascii="仿宋" w:hAnsi="仿宋" w:eastAsia="仿宋" w:cs="仿宋"/>
          <w:b/>
          <w:i w:val="0"/>
          <w:iCs w:val="0"/>
          <w:color w:val="auto"/>
          <w:sz w:val="21"/>
          <w:szCs w:val="21"/>
          <w:highlight w:val="none"/>
          <w:lang w:val="en-US" w:eastAsia="zh-CN"/>
        </w:rPr>
        <w:t>2023年</w:t>
      </w:r>
      <w:r>
        <w:rPr>
          <w:rFonts w:hint="eastAsia" w:ascii="仿宋" w:hAnsi="仿宋" w:eastAsia="仿宋" w:cs="仿宋"/>
          <w:b/>
          <w:i w:val="0"/>
          <w:iCs w:val="0"/>
          <w:color w:val="auto"/>
          <w:sz w:val="21"/>
          <w:szCs w:val="21"/>
          <w:highlight w:val="none"/>
        </w:rPr>
        <w:t>经审计的财务报表</w:t>
      </w:r>
      <w:bookmarkEnd w:id="457"/>
      <w:bookmarkEnd w:id="458"/>
    </w:p>
    <w:p>
      <w:pPr>
        <w:spacing w:line="360" w:lineRule="auto"/>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right="-57" w:rightChars="-27"/>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提供供应商</w:t>
      </w:r>
      <w:r>
        <w:rPr>
          <w:rFonts w:hint="eastAsia" w:ascii="仿宋" w:hAnsi="仿宋" w:eastAsia="仿宋" w:cs="仿宋"/>
          <w:i w:val="0"/>
          <w:iCs w:val="0"/>
          <w:color w:val="auto"/>
          <w:sz w:val="21"/>
          <w:szCs w:val="21"/>
          <w:highlight w:val="none"/>
          <w:lang w:val="en-US" w:eastAsia="zh-CN"/>
        </w:rPr>
        <w:t>2023</w:t>
      </w:r>
      <w:r>
        <w:rPr>
          <w:rFonts w:hint="eastAsia" w:ascii="仿宋" w:hAnsi="仿宋" w:eastAsia="仿宋" w:cs="仿宋"/>
          <w:i w:val="0"/>
          <w:iCs w:val="0"/>
          <w:color w:val="auto"/>
          <w:sz w:val="21"/>
          <w:szCs w:val="21"/>
          <w:highlight w:val="none"/>
        </w:rPr>
        <w:t>年度经审计的财务报表（包括资产负债表、现金流量表、利润表）复印件或扫描件、所有复印件或扫描件需加盖单位公章。</w:t>
      </w:r>
    </w:p>
    <w:p>
      <w:pPr>
        <w:spacing w:line="360" w:lineRule="auto"/>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left="420" w:right="-57" w:rightChars="-27"/>
        <w:jc w:val="left"/>
        <w:rPr>
          <w:rFonts w:hint="eastAsia" w:ascii="仿宋" w:hAnsi="仿宋" w:eastAsia="仿宋" w:cs="仿宋"/>
          <w:b/>
          <w:i w:val="0"/>
          <w:iCs w:val="0"/>
          <w:color w:val="auto"/>
          <w:spacing w:val="20"/>
          <w:sz w:val="21"/>
          <w:szCs w:val="21"/>
          <w:highlight w:val="none"/>
        </w:rPr>
      </w:pPr>
    </w:p>
    <w:p>
      <w:pPr>
        <w:jc w:val="left"/>
        <w:outlineLvl w:val="2"/>
        <w:rPr>
          <w:rFonts w:hint="eastAsia" w:ascii="仿宋" w:hAnsi="仿宋" w:eastAsia="仿宋" w:cs="仿宋"/>
          <w:b/>
          <w:i w:val="0"/>
          <w:iCs w:val="0"/>
          <w:color w:val="auto"/>
          <w:sz w:val="21"/>
          <w:szCs w:val="21"/>
          <w:highlight w:val="none"/>
        </w:rPr>
      </w:pPr>
      <w:bookmarkStart w:id="459" w:name="_Toc7005122"/>
      <w:r>
        <w:rPr>
          <w:rFonts w:hint="eastAsia" w:ascii="仿宋" w:hAnsi="仿宋" w:eastAsia="仿宋" w:cs="仿宋"/>
          <w:b/>
          <w:i w:val="0"/>
          <w:iCs w:val="0"/>
          <w:color w:val="auto"/>
          <w:sz w:val="21"/>
          <w:szCs w:val="21"/>
          <w:highlight w:val="none"/>
        </w:rPr>
        <w:t>或  6-2  本年度基本开户银行出具的资信证明</w:t>
      </w:r>
      <w:bookmarkEnd w:id="459"/>
    </w:p>
    <w:p>
      <w:pPr>
        <w:spacing w:line="360" w:lineRule="auto"/>
        <w:rPr>
          <w:rFonts w:hint="eastAsia" w:ascii="仿宋" w:hAnsi="仿宋" w:eastAsia="仿宋" w:cs="仿宋"/>
          <w:i w:val="0"/>
          <w:iCs w:val="0"/>
          <w:color w:val="auto"/>
          <w:sz w:val="21"/>
          <w:szCs w:val="21"/>
          <w:highlight w:val="none"/>
        </w:rPr>
      </w:pPr>
    </w:p>
    <w:p>
      <w:pPr>
        <w:widowControl/>
        <w:jc w:val="left"/>
        <w:rPr>
          <w:rFonts w:hint="eastAsia" w:ascii="仿宋" w:hAnsi="仿宋" w:eastAsia="仿宋" w:cs="仿宋"/>
          <w:b/>
          <w:i w:val="0"/>
          <w:iCs w:val="0"/>
          <w:color w:val="auto"/>
          <w:spacing w:val="20"/>
          <w:sz w:val="21"/>
          <w:szCs w:val="21"/>
          <w:highlight w:val="none"/>
        </w:rPr>
      </w:pP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jc w:val="left"/>
        <w:outlineLvl w:val="2"/>
        <w:rPr>
          <w:rFonts w:hint="eastAsia" w:ascii="仿宋" w:hAnsi="仿宋" w:eastAsia="仿宋" w:cs="仿宋"/>
          <w:b/>
          <w:i w:val="0"/>
          <w:iCs w:val="0"/>
          <w:color w:val="auto"/>
          <w:sz w:val="21"/>
          <w:szCs w:val="21"/>
          <w:highlight w:val="none"/>
        </w:rPr>
      </w:pPr>
      <w:bookmarkStart w:id="460" w:name="_Toc7005123"/>
      <w:r>
        <w:rPr>
          <w:rFonts w:hint="eastAsia" w:ascii="仿宋" w:hAnsi="仿宋" w:eastAsia="仿宋" w:cs="仿宋"/>
          <w:b/>
          <w:i w:val="0"/>
          <w:iCs w:val="0"/>
          <w:color w:val="auto"/>
          <w:sz w:val="21"/>
          <w:szCs w:val="21"/>
          <w:highlight w:val="none"/>
        </w:rPr>
        <w:t>6-3 依法缴纳税收的证明</w:t>
      </w:r>
      <w:bookmarkEnd w:id="460"/>
    </w:p>
    <w:p>
      <w:pPr>
        <w:tabs>
          <w:tab w:val="left" w:pos="993"/>
          <w:tab w:val="left" w:pos="1030"/>
          <w:tab w:val="left" w:pos="8364"/>
        </w:tabs>
        <w:snapToGrid w:val="0"/>
        <w:spacing w:after="120" w:afterLines="50"/>
        <w:ind w:left="420" w:right="-57" w:rightChars="-27" w:firstLine="420" w:firstLineChars="200"/>
        <w:jc w:val="left"/>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说明：</w:t>
      </w:r>
    </w:p>
    <w:p>
      <w:pPr>
        <w:tabs>
          <w:tab w:val="left" w:pos="993"/>
          <w:tab w:val="left" w:pos="1030"/>
          <w:tab w:val="left" w:pos="8364"/>
        </w:tabs>
        <w:snapToGrid w:val="0"/>
        <w:spacing w:after="120" w:afterLines="50"/>
        <w:ind w:right="-57" w:rightChars="-27" w:firstLine="630" w:firstLineChars="3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1、供应商应提供</w:t>
      </w:r>
      <w:r>
        <w:rPr>
          <w:rFonts w:hint="eastAsia" w:ascii="仿宋" w:hAnsi="仿宋" w:eastAsia="仿宋" w:cs="仿宋"/>
          <w:i w:val="0"/>
          <w:iCs w:val="0"/>
          <w:color w:val="auto"/>
          <w:sz w:val="21"/>
          <w:szCs w:val="21"/>
          <w:highlight w:val="none"/>
          <w:lang w:val="en-US" w:eastAsia="zh-CN"/>
        </w:rPr>
        <w:t>2022年1月至今</w:t>
      </w:r>
      <w:r>
        <w:rPr>
          <w:rFonts w:hint="eastAsia" w:ascii="仿宋" w:hAnsi="仿宋" w:eastAsia="仿宋" w:cs="仿宋"/>
          <w:i w:val="0"/>
          <w:iCs w:val="0"/>
          <w:color w:val="auto"/>
          <w:sz w:val="21"/>
          <w:szCs w:val="21"/>
          <w:highlight w:val="none"/>
        </w:rPr>
        <w:t>任何一个月缴纳增值税和企业所得税的凭证（银行出具的缴税凭证或税务机关出具的证明的复印件，并加盖本单位公章）。</w:t>
      </w:r>
    </w:p>
    <w:p>
      <w:pPr>
        <w:tabs>
          <w:tab w:val="left" w:pos="993"/>
          <w:tab w:val="left" w:pos="1030"/>
          <w:tab w:val="left" w:pos="8364"/>
        </w:tabs>
        <w:snapToGrid w:val="0"/>
        <w:spacing w:after="120" w:afterLines="50"/>
        <w:ind w:right="-57" w:rightChars="-27" w:firstLine="630" w:firstLineChars="3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2、依法免税的供应商，应提供相应文件证明其依法免税。</w:t>
      </w:r>
    </w:p>
    <w:p>
      <w:pPr>
        <w:tabs>
          <w:tab w:val="left" w:pos="993"/>
          <w:tab w:val="left" w:pos="1030"/>
          <w:tab w:val="left" w:pos="8364"/>
        </w:tabs>
        <w:snapToGrid w:val="0"/>
        <w:spacing w:after="120" w:afterLines="50"/>
        <w:ind w:left="420" w:right="-57" w:rightChars="-27" w:firstLine="420" w:firstLineChars="200"/>
        <w:jc w:val="left"/>
        <w:rPr>
          <w:rFonts w:hint="eastAsia" w:ascii="仿宋" w:hAnsi="仿宋" w:eastAsia="仿宋" w:cs="仿宋"/>
          <w:i w:val="0"/>
          <w:iCs w:val="0"/>
          <w:color w:val="auto"/>
          <w:sz w:val="21"/>
          <w:szCs w:val="21"/>
          <w:highlight w:val="none"/>
        </w:rPr>
      </w:pPr>
    </w:p>
    <w:p>
      <w:pPr>
        <w:spacing w:after="120"/>
        <w:rPr>
          <w:rFonts w:hint="eastAsia" w:ascii="仿宋" w:hAnsi="仿宋" w:eastAsia="仿宋" w:cs="仿宋"/>
          <w:i w:val="0"/>
          <w:iCs w:val="0"/>
          <w:color w:val="auto"/>
          <w:sz w:val="21"/>
          <w:szCs w:val="21"/>
          <w:highlight w:val="none"/>
        </w:rPr>
      </w:pPr>
    </w:p>
    <w:p>
      <w:pPr>
        <w:tabs>
          <w:tab w:val="left" w:pos="993"/>
          <w:tab w:val="left" w:pos="1030"/>
          <w:tab w:val="left" w:pos="8364"/>
        </w:tabs>
        <w:snapToGrid w:val="0"/>
        <w:spacing w:after="120" w:afterLines="50"/>
        <w:ind w:left="420" w:right="-57" w:rightChars="-27" w:firstLine="420" w:firstLineChars="200"/>
        <w:jc w:val="left"/>
        <w:rPr>
          <w:rFonts w:hint="eastAsia" w:ascii="仿宋" w:hAnsi="仿宋" w:eastAsia="仿宋" w:cs="仿宋"/>
          <w:i w:val="0"/>
          <w:iCs w:val="0"/>
          <w:color w:val="auto"/>
          <w:sz w:val="21"/>
          <w:szCs w:val="21"/>
          <w:highlight w:val="none"/>
        </w:rPr>
      </w:pPr>
    </w:p>
    <w:p>
      <w:pPr>
        <w:jc w:val="left"/>
        <w:outlineLvl w:val="2"/>
        <w:rPr>
          <w:rFonts w:hint="eastAsia" w:ascii="仿宋" w:hAnsi="仿宋" w:eastAsia="仿宋" w:cs="仿宋"/>
          <w:b/>
          <w:i w:val="0"/>
          <w:iCs w:val="0"/>
          <w:color w:val="auto"/>
          <w:sz w:val="21"/>
          <w:szCs w:val="21"/>
          <w:highlight w:val="none"/>
        </w:rPr>
      </w:pPr>
      <w:bookmarkStart w:id="461" w:name="_Toc7005124"/>
      <w:r>
        <w:rPr>
          <w:rFonts w:hint="eastAsia" w:ascii="仿宋" w:hAnsi="仿宋" w:eastAsia="仿宋" w:cs="仿宋"/>
          <w:b/>
          <w:i w:val="0"/>
          <w:iCs w:val="0"/>
          <w:color w:val="auto"/>
          <w:sz w:val="21"/>
          <w:szCs w:val="21"/>
          <w:highlight w:val="none"/>
        </w:rPr>
        <w:t>6-4社会保障资金缴纳记录</w:t>
      </w:r>
      <w:bookmarkEnd w:id="461"/>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说明：</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供应商应提供2022年1月至今至少一个月的社会缴纳社会保险的凭据（专用收据或社会保险缴纳清单），并加盖本单位公章。</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不需要缴纳社会保障资金的供应商，应提供相应文件证明其不需要缴纳社会保障资金。</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rPr>
          <w:rFonts w:hint="eastAsia" w:ascii="仿宋" w:hAnsi="仿宋" w:eastAsia="仿宋" w:cs="仿宋"/>
          <w:b/>
          <w:bCs/>
          <w:i w:val="0"/>
          <w:iCs w:val="0"/>
          <w:color w:val="auto"/>
          <w:sz w:val="21"/>
          <w:szCs w:val="21"/>
          <w:highlight w:val="none"/>
        </w:rPr>
      </w:pPr>
      <w:bookmarkStart w:id="462" w:name="_Toc7005125"/>
      <w:r>
        <w:rPr>
          <w:rFonts w:hint="eastAsia" w:ascii="仿宋" w:hAnsi="仿宋" w:eastAsia="仿宋" w:cs="仿宋"/>
          <w:b/>
          <w:bCs/>
          <w:i w:val="0"/>
          <w:iCs w:val="0"/>
          <w:color w:val="auto"/>
          <w:sz w:val="21"/>
          <w:szCs w:val="21"/>
          <w:highlight w:val="none"/>
        </w:rPr>
        <w:br w:type="page"/>
      </w:r>
    </w:p>
    <w:p>
      <w:pPr>
        <w:jc w:val="left"/>
        <w:outlineLvl w:val="2"/>
        <w:rPr>
          <w:rFonts w:hint="eastAsia" w:ascii="仿宋" w:hAnsi="仿宋" w:eastAsia="仿宋" w:cs="仿宋"/>
          <w:b/>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6-5 </w:t>
      </w:r>
      <w:r>
        <w:rPr>
          <w:rFonts w:hint="eastAsia" w:ascii="仿宋" w:hAnsi="仿宋" w:eastAsia="仿宋" w:cs="仿宋"/>
          <w:b/>
          <w:i w:val="0"/>
          <w:iCs w:val="0"/>
          <w:color w:val="auto"/>
          <w:sz w:val="21"/>
          <w:szCs w:val="21"/>
          <w:highlight w:val="none"/>
        </w:rPr>
        <w:t>具备履行合同所必需的设备和专业技术能力承诺书</w:t>
      </w:r>
      <w:bookmarkEnd w:id="462"/>
      <w:r>
        <w:rPr>
          <w:rFonts w:hint="eastAsia" w:ascii="仿宋" w:hAnsi="仿宋" w:eastAsia="仿宋" w:cs="仿宋"/>
          <w:b/>
          <w:i w:val="0"/>
          <w:iCs w:val="0"/>
          <w:color w:val="auto"/>
          <w:sz w:val="21"/>
          <w:szCs w:val="21"/>
          <w:highlight w:val="none"/>
        </w:rPr>
        <w:t xml:space="preserve">                                                                                                                                                                                                                                                                                                                                                                                                                                                                                                                                                                                                                                                                                                      </w:t>
      </w:r>
    </w:p>
    <w:p>
      <w:pPr>
        <w:ind w:firstLine="480"/>
        <w:rPr>
          <w:rFonts w:hint="eastAsia" w:ascii="仿宋" w:hAnsi="仿宋" w:eastAsia="仿宋" w:cs="仿宋"/>
          <w:i w:val="0"/>
          <w:iCs w:val="0"/>
          <w:color w:val="auto"/>
          <w:kern w:val="0"/>
          <w:sz w:val="21"/>
          <w:szCs w:val="21"/>
          <w:highlight w:val="none"/>
        </w:rPr>
      </w:pPr>
    </w:p>
    <w:p>
      <w:pPr>
        <w:ind w:firstLine="480"/>
        <w:rPr>
          <w:rFonts w:hint="eastAsia" w:ascii="仿宋" w:hAnsi="仿宋" w:eastAsia="仿宋" w:cs="仿宋"/>
          <w:i w:val="0"/>
          <w:iCs w:val="0"/>
          <w:color w:val="auto"/>
          <w:kern w:val="0"/>
          <w:sz w:val="21"/>
          <w:szCs w:val="21"/>
          <w:highlight w:val="none"/>
        </w:rPr>
      </w:pPr>
    </w:p>
    <w:p>
      <w:pPr>
        <w:rPr>
          <w:rFonts w:hint="eastAsia" w:ascii="仿宋" w:hAnsi="仿宋" w:eastAsia="仿宋" w:cs="仿宋"/>
          <w:i w:val="0"/>
          <w:iCs w:val="0"/>
          <w:color w:val="auto"/>
          <w:kern w:val="0"/>
          <w:sz w:val="21"/>
          <w:szCs w:val="21"/>
          <w:highlight w:val="none"/>
          <w:u w:val="single"/>
        </w:rPr>
      </w:pPr>
      <w:r>
        <w:rPr>
          <w:rFonts w:hint="eastAsia" w:ascii="仿宋" w:hAnsi="仿宋" w:eastAsia="仿宋" w:cs="仿宋"/>
          <w:i w:val="0"/>
          <w:iCs w:val="0"/>
          <w:color w:val="auto"/>
          <w:kern w:val="0"/>
          <w:sz w:val="21"/>
          <w:szCs w:val="21"/>
          <w:highlight w:val="none"/>
          <w:u w:val="none"/>
          <w:lang w:val="en-US" w:eastAsia="zh-CN"/>
        </w:rPr>
        <w:t>陕西中医药大学第二附属医院</w:t>
      </w:r>
      <w:r>
        <w:rPr>
          <w:rFonts w:hint="eastAsia" w:ascii="仿宋" w:hAnsi="仿宋" w:eastAsia="仿宋" w:cs="仿宋"/>
          <w:i w:val="0"/>
          <w:iCs w:val="0"/>
          <w:color w:val="auto"/>
          <w:kern w:val="0"/>
          <w:sz w:val="21"/>
          <w:szCs w:val="21"/>
          <w:highlight w:val="none"/>
          <w:u w:val="none"/>
        </w:rPr>
        <w:t xml:space="preserve">：  </w:t>
      </w:r>
      <w:r>
        <w:rPr>
          <w:rFonts w:hint="eastAsia" w:ascii="仿宋" w:hAnsi="仿宋" w:eastAsia="仿宋" w:cs="仿宋"/>
          <w:i w:val="0"/>
          <w:iCs w:val="0"/>
          <w:color w:val="auto"/>
          <w:kern w:val="0"/>
          <w:sz w:val="21"/>
          <w:szCs w:val="21"/>
          <w:highlight w:val="none"/>
          <w:u w:val="single"/>
        </w:rPr>
        <w:t xml:space="preserve"> </w:t>
      </w:r>
    </w:p>
    <w:p>
      <w:pPr>
        <w:ind w:firstLine="480"/>
        <w:rPr>
          <w:rFonts w:hint="eastAsia" w:ascii="仿宋" w:hAnsi="仿宋" w:eastAsia="仿宋" w:cs="仿宋"/>
          <w:i w:val="0"/>
          <w:iCs w:val="0"/>
          <w:color w:val="auto"/>
          <w:kern w:val="0"/>
          <w:sz w:val="21"/>
          <w:szCs w:val="21"/>
          <w:highlight w:val="none"/>
        </w:rPr>
      </w:pPr>
    </w:p>
    <w:p>
      <w:pPr>
        <w:ind w:firstLine="480"/>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我公司承诺</w:t>
      </w:r>
      <w:r>
        <w:rPr>
          <w:rFonts w:hint="eastAsia" w:ascii="仿宋" w:hAnsi="仿宋" w:eastAsia="仿宋" w:cs="仿宋"/>
          <w:i w:val="0"/>
          <w:iCs w:val="0"/>
          <w:color w:val="auto"/>
          <w:sz w:val="21"/>
          <w:szCs w:val="21"/>
          <w:highlight w:val="none"/>
        </w:rPr>
        <w:t>具备履行合同所必需的设备和专业技术能力</w:t>
      </w:r>
      <w:r>
        <w:rPr>
          <w:rFonts w:hint="eastAsia" w:ascii="仿宋" w:hAnsi="仿宋" w:eastAsia="仿宋" w:cs="仿宋"/>
          <w:i w:val="0"/>
          <w:iCs w:val="0"/>
          <w:color w:val="auto"/>
          <w:kern w:val="0"/>
          <w:sz w:val="21"/>
          <w:szCs w:val="21"/>
          <w:highlight w:val="none"/>
        </w:rPr>
        <w:t>。</w:t>
      </w:r>
    </w:p>
    <w:p>
      <w:pPr>
        <w:ind w:firstLine="480"/>
        <w:rPr>
          <w:rFonts w:hint="eastAsia" w:ascii="仿宋" w:hAnsi="仿宋" w:eastAsia="仿宋" w:cs="仿宋"/>
          <w:b/>
          <w:i w:val="0"/>
          <w:iCs w:val="0"/>
          <w:color w:val="auto"/>
          <w:sz w:val="21"/>
          <w:szCs w:val="21"/>
          <w:highlight w:val="none"/>
        </w:rPr>
      </w:pPr>
    </w:p>
    <w:p>
      <w:pPr>
        <w:ind w:firstLine="480"/>
        <w:rPr>
          <w:rFonts w:hint="eastAsia" w:ascii="仿宋" w:hAnsi="仿宋" w:eastAsia="仿宋" w:cs="仿宋"/>
          <w:b/>
          <w:i w:val="0"/>
          <w:iCs w:val="0"/>
          <w:color w:val="auto"/>
          <w:sz w:val="21"/>
          <w:szCs w:val="21"/>
          <w:highlight w:val="none"/>
        </w:rPr>
      </w:pPr>
    </w:p>
    <w:p>
      <w:pPr>
        <w:ind w:firstLine="480"/>
        <w:rPr>
          <w:rFonts w:hint="eastAsia" w:ascii="仿宋" w:hAnsi="仿宋" w:eastAsia="仿宋" w:cs="仿宋"/>
          <w:b/>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供应商名称（公章）：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法定代表人或其授权代表（签字或加盖人名章）：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ind w:right="280"/>
        <w:rPr>
          <w:rFonts w:hint="eastAsia" w:ascii="仿宋" w:hAnsi="仿宋" w:eastAsia="仿宋" w:cs="仿宋"/>
          <w:i w:val="0"/>
          <w:iCs w:val="0"/>
          <w:color w:val="auto"/>
          <w:sz w:val="21"/>
          <w:szCs w:val="21"/>
          <w:highlight w:val="none"/>
        </w:rPr>
      </w:pP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widowControl/>
        <w:jc w:val="left"/>
        <w:rPr>
          <w:rFonts w:hint="eastAsia" w:ascii="仿宋" w:hAnsi="仿宋" w:eastAsia="仿宋" w:cs="仿宋"/>
          <w:b/>
          <w:i w:val="0"/>
          <w:iCs w:val="0"/>
          <w:color w:val="auto"/>
          <w:sz w:val="21"/>
          <w:szCs w:val="21"/>
          <w:highlight w:val="none"/>
        </w:rPr>
      </w:pPr>
    </w:p>
    <w:p>
      <w:pPr>
        <w:numPr>
          <w:ilvl w:val="1"/>
          <w:numId w:val="19"/>
        </w:numPr>
        <w:jc w:val="left"/>
        <w:outlineLvl w:val="2"/>
        <w:rPr>
          <w:rFonts w:hint="eastAsia" w:ascii="仿宋" w:hAnsi="仿宋" w:eastAsia="仿宋" w:cs="仿宋"/>
          <w:b/>
          <w:i w:val="0"/>
          <w:iCs w:val="0"/>
          <w:color w:val="auto"/>
          <w:sz w:val="21"/>
          <w:szCs w:val="21"/>
          <w:highlight w:val="none"/>
        </w:rPr>
      </w:pPr>
      <w:bookmarkStart w:id="463" w:name="_Toc7005126"/>
      <w:r>
        <w:rPr>
          <w:rFonts w:hint="eastAsia" w:ascii="仿宋" w:hAnsi="仿宋" w:eastAsia="仿宋" w:cs="仿宋"/>
          <w:b/>
          <w:i w:val="0"/>
          <w:iCs w:val="0"/>
          <w:color w:val="auto"/>
          <w:sz w:val="21"/>
          <w:szCs w:val="21"/>
          <w:highlight w:val="none"/>
        </w:rPr>
        <w:t>供应商参加政府采购活动前3年内在经营活动中没有重大违法记录的书面声明（格式）</w:t>
      </w:r>
      <w:bookmarkEnd w:id="463"/>
    </w:p>
    <w:p>
      <w:pPr>
        <w:jc w:val="center"/>
        <w:rPr>
          <w:rFonts w:hint="eastAsia" w:ascii="仿宋" w:hAnsi="仿宋" w:eastAsia="仿宋" w:cs="仿宋"/>
          <w:i w:val="0"/>
          <w:iCs w:val="0"/>
          <w:color w:val="auto"/>
          <w:sz w:val="21"/>
          <w:szCs w:val="21"/>
          <w:highlight w:val="none"/>
        </w:rPr>
      </w:pPr>
    </w:p>
    <w:p>
      <w:pPr>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声明函</w:t>
      </w:r>
    </w:p>
    <w:p>
      <w:pPr>
        <w:jc w:val="center"/>
        <w:rPr>
          <w:rFonts w:hint="eastAsia" w:ascii="仿宋" w:hAnsi="仿宋" w:eastAsia="仿宋" w:cs="仿宋"/>
          <w:i w:val="0"/>
          <w:iCs w:val="0"/>
          <w:color w:val="auto"/>
          <w:sz w:val="21"/>
          <w:szCs w:val="21"/>
          <w:highlight w:val="none"/>
        </w:rPr>
      </w:pPr>
    </w:p>
    <w:p>
      <w:pPr>
        <w:tabs>
          <w:tab w:val="left" w:pos="5580"/>
        </w:tabs>
        <w:spacing w:before="120" w:line="36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陕西中医药大学第二附属医院</w:t>
      </w:r>
      <w:r>
        <w:rPr>
          <w:rFonts w:hint="eastAsia" w:ascii="仿宋" w:hAnsi="仿宋" w:eastAsia="仿宋" w:cs="仿宋"/>
          <w:i w:val="0"/>
          <w:iCs w:val="0"/>
          <w:color w:val="auto"/>
          <w:sz w:val="21"/>
          <w:szCs w:val="21"/>
          <w:highlight w:val="none"/>
          <w:u w:val="none"/>
          <w:lang w:eastAsia="zh-CN"/>
        </w:rPr>
        <w:t>：</w:t>
      </w:r>
      <w:r>
        <w:rPr>
          <w:rFonts w:hint="eastAsia" w:ascii="仿宋" w:hAnsi="仿宋" w:eastAsia="仿宋" w:cs="仿宋"/>
          <w:i w:val="0"/>
          <w:iCs w:val="0"/>
          <w:color w:val="auto"/>
          <w:sz w:val="21"/>
          <w:szCs w:val="21"/>
          <w:highlight w:val="none"/>
          <w:u w:val="none"/>
        </w:rPr>
        <w:t xml:space="preserve">  </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特此声明。</w:t>
      </w:r>
    </w:p>
    <w:p>
      <w:pPr>
        <w:tabs>
          <w:tab w:val="left" w:pos="5580"/>
        </w:tabs>
        <w:spacing w:before="120" w:line="360" w:lineRule="auto"/>
        <w:ind w:firstLine="420" w:firstLineChars="200"/>
        <w:rPr>
          <w:rFonts w:hint="eastAsia" w:ascii="仿宋" w:hAnsi="仿宋" w:eastAsia="仿宋" w:cs="仿宋"/>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供应商名称（公章）：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法定代表人或其授权代表（签字或加盖人名章）：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spacing w:after="120"/>
        <w:rPr>
          <w:rFonts w:hint="default" w:ascii="Times New Roman" w:hAnsi="Times New Roman" w:eastAsia="仿宋_GB2312" w:cs="Times New Roman"/>
          <w:i w:val="0"/>
          <w:iCs w:val="0"/>
          <w:color w:val="auto"/>
          <w:highlight w:val="none"/>
        </w:rPr>
      </w:pPr>
    </w:p>
    <w:p>
      <w:pPr>
        <w:pStyle w:val="2"/>
        <w:rPr>
          <w:rFonts w:hint="default" w:ascii="Times New Roman" w:hAnsi="Times New Roman" w:eastAsia="仿宋_GB2312" w:cs="Times New Roman"/>
          <w:i w:val="0"/>
          <w:iCs w:val="0"/>
          <w:color w:val="auto"/>
          <w:highlight w:val="none"/>
        </w:rPr>
      </w:pPr>
    </w:p>
    <w:p>
      <w:pPr>
        <w:pStyle w:val="2"/>
        <w:rPr>
          <w:rFonts w:hint="default" w:ascii="Times New Roman" w:hAnsi="Times New Roman" w:eastAsia="仿宋_GB2312" w:cs="Times New Roman"/>
          <w:i w:val="0"/>
          <w:iCs w:val="0"/>
          <w:color w:val="auto"/>
          <w:highlight w:val="none"/>
        </w:rPr>
      </w:pPr>
    </w:p>
    <w:p>
      <w:pPr>
        <w:pStyle w:val="2"/>
        <w:rPr>
          <w:rFonts w:hint="default" w:ascii="Times New Roman" w:hAnsi="Times New Roman" w:eastAsia="仿宋_GB2312" w:cs="Times New Roman"/>
          <w:i w:val="0"/>
          <w:iCs w:val="0"/>
          <w:color w:val="auto"/>
          <w:highlight w:val="none"/>
        </w:rPr>
      </w:pPr>
    </w:p>
    <w:p>
      <w:pPr>
        <w:rPr>
          <w:rFonts w:hint="eastAsia" w:ascii="仿宋" w:hAnsi="仿宋" w:eastAsia="仿宋" w:cs="仿宋"/>
          <w:b/>
          <w:i w:val="0"/>
          <w:iCs w:val="0"/>
          <w:color w:val="auto"/>
          <w:sz w:val="21"/>
          <w:szCs w:val="21"/>
          <w:highlight w:val="none"/>
        </w:rPr>
      </w:pPr>
      <w:bookmarkStart w:id="464" w:name="_Toc7005129"/>
      <w:r>
        <w:rPr>
          <w:rFonts w:hint="eastAsia" w:ascii="仿宋" w:hAnsi="仿宋" w:eastAsia="仿宋" w:cs="仿宋"/>
          <w:b/>
          <w:i w:val="0"/>
          <w:iCs w:val="0"/>
          <w:color w:val="auto"/>
          <w:sz w:val="21"/>
          <w:szCs w:val="21"/>
          <w:highlight w:val="none"/>
        </w:rPr>
        <w:t>6-</w:t>
      </w:r>
      <w:r>
        <w:rPr>
          <w:rFonts w:hint="eastAsia" w:ascii="仿宋" w:hAnsi="仿宋" w:eastAsia="仿宋" w:cs="仿宋"/>
          <w:b/>
          <w:i w:val="0"/>
          <w:iCs w:val="0"/>
          <w:color w:val="auto"/>
          <w:sz w:val="21"/>
          <w:szCs w:val="21"/>
          <w:highlight w:val="none"/>
          <w:lang w:val="en-US" w:eastAsia="zh-CN"/>
        </w:rPr>
        <w:t>7</w:t>
      </w:r>
      <w:r>
        <w:rPr>
          <w:rFonts w:hint="eastAsia" w:ascii="仿宋" w:hAnsi="仿宋" w:eastAsia="仿宋" w:cs="仿宋"/>
          <w:b/>
          <w:i w:val="0"/>
          <w:iCs w:val="0"/>
          <w:color w:val="auto"/>
          <w:sz w:val="21"/>
          <w:szCs w:val="21"/>
          <w:highlight w:val="none"/>
        </w:rPr>
        <w:t>证明供应商符合特定资格条件的证明材料</w:t>
      </w:r>
      <w:bookmarkEnd w:id="464"/>
      <w:r>
        <w:rPr>
          <w:rFonts w:hint="eastAsia" w:ascii="仿宋" w:hAnsi="仿宋" w:eastAsia="仿宋" w:cs="仿宋"/>
          <w:b/>
          <w:i w:val="0"/>
          <w:iCs w:val="0"/>
          <w:color w:val="auto"/>
          <w:sz w:val="21"/>
          <w:szCs w:val="21"/>
          <w:highlight w:val="none"/>
        </w:rPr>
        <w:t>：</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br w:type="page"/>
      </w:r>
    </w:p>
    <w:p>
      <w:pPr>
        <w:spacing w:after="120"/>
        <w:rPr>
          <w:rFonts w:hint="default" w:ascii="Times New Roman" w:hAnsi="Times New Roman" w:eastAsia="仿宋_GB2312" w:cs="Times New Roman"/>
          <w:i w:val="0"/>
          <w:iCs w:val="0"/>
          <w:color w:val="auto"/>
          <w:highlight w:val="none"/>
        </w:rPr>
      </w:pPr>
    </w:p>
    <w:p>
      <w:pPr>
        <w:pStyle w:val="200"/>
        <w:ind w:firstLine="6927" w:firstLineChars="2300"/>
        <w:rPr>
          <w:rFonts w:hint="default" w:ascii="Times New Roman" w:hAnsi="Times New Roman" w:cs="Times New Roman"/>
          <w:b/>
          <w:i w:val="0"/>
          <w:iCs w:val="0"/>
          <w:color w:val="auto"/>
          <w:sz w:val="30"/>
          <w:szCs w:val="30"/>
          <w:highlight w:val="none"/>
          <w:lang w:val="zh-CN"/>
        </w:rPr>
      </w:pPr>
      <w:r>
        <w:rPr>
          <w:rFonts w:hint="default" w:ascii="Times New Roman" w:hAnsi="Times New Roman" w:cs="Times New Roman"/>
          <w:b/>
          <w:i w:val="0"/>
          <w:iCs w:val="0"/>
          <w:color w:val="auto"/>
          <w:sz w:val="30"/>
          <w:szCs w:val="30"/>
          <w:highlight w:val="none"/>
          <w:lang w:val="zh-CN"/>
        </w:rPr>
        <w:t>正本/副本</w:t>
      </w:r>
    </w:p>
    <w:p>
      <w:pPr>
        <w:autoSpaceDE w:val="0"/>
        <w:autoSpaceDN w:val="0"/>
        <w:adjustRightInd w:val="0"/>
        <w:snapToGrid w:val="0"/>
        <w:spacing w:line="360" w:lineRule="auto"/>
        <w:jc w:val="left"/>
        <w:rPr>
          <w:rFonts w:hint="default" w:ascii="Times New Roman" w:hAnsi="Times New Roman" w:eastAsia="仿宋_GB2312"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采购项目编号：</w:t>
      </w:r>
      <w:r>
        <w:rPr>
          <w:rFonts w:hint="eastAsia" w:ascii="Times New Roman" w:hAnsi="Times New Roman" w:eastAsia="仿宋_GB2312" w:cs="Times New Roman"/>
          <w:b/>
          <w:bCs/>
          <w:i w:val="0"/>
          <w:iCs w:val="0"/>
          <w:color w:val="auto"/>
          <w:sz w:val="32"/>
          <w:szCs w:val="32"/>
          <w:highlight w:val="none"/>
          <w:lang w:val="en-US" w:eastAsia="zh-CN"/>
        </w:rPr>
        <w:t>SZRFYZB202312-153</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Times New Roman" w:hAnsi="Times New Roman" w:eastAsia="仿宋_GB2312" w:cs="Times New Roman"/>
          <w:b/>
          <w:bCs/>
          <w:i w:val="0"/>
          <w:iCs w:val="0"/>
          <w:color w:val="auto"/>
          <w:sz w:val="44"/>
          <w:szCs w:val="44"/>
          <w:highlight w:val="none"/>
          <w:lang w:val="en-US" w:eastAsia="zh-CN"/>
        </w:rPr>
      </w:pPr>
      <w:r>
        <w:rPr>
          <w:rFonts w:hint="eastAsia" w:ascii="Times New Roman" w:hAnsi="Times New Roman" w:eastAsia="仿宋_GB2312" w:cs="Times New Roman"/>
          <w:b/>
          <w:bCs/>
          <w:i w:val="0"/>
          <w:iCs w:val="0"/>
          <w:color w:val="auto"/>
          <w:sz w:val="44"/>
          <w:szCs w:val="44"/>
          <w:highlight w:val="none"/>
          <w:lang w:val="en-US" w:eastAsia="zh-CN"/>
        </w:rPr>
        <w:t>陕西中医药大学第二附属医院迁建医院项目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48"/>
          <w:szCs w:val="48"/>
          <w:highlight w:val="none"/>
          <w:lang w:val="zh-CN"/>
        </w:rPr>
      </w:pPr>
      <w:r>
        <w:rPr>
          <w:rFonts w:hint="eastAsia" w:ascii="Times New Roman" w:hAnsi="Times New Roman" w:eastAsia="仿宋_GB2312" w:cs="Times New Roman"/>
          <w:b/>
          <w:bCs/>
          <w:i w:val="0"/>
          <w:iCs w:val="0"/>
          <w:color w:val="auto"/>
          <w:sz w:val="44"/>
          <w:szCs w:val="44"/>
          <w:highlight w:val="none"/>
          <w:lang w:val="en-US" w:eastAsia="zh-CN"/>
        </w:rPr>
        <w:t>西侧二期预留土地规划设计项目</w:t>
      </w:r>
    </w:p>
    <w:p>
      <w:pPr>
        <w:tabs>
          <w:tab w:val="left" w:pos="5670"/>
        </w:tabs>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52"/>
          <w:szCs w:val="52"/>
          <w:highlight w:val="none"/>
          <w:lang w:val="zh-CN"/>
        </w:rPr>
      </w:pPr>
      <w:r>
        <w:rPr>
          <w:rFonts w:hint="default" w:ascii="Times New Roman" w:hAnsi="Times New Roman" w:eastAsia="仿宋_GB2312" w:cs="Times New Roman"/>
          <w:b/>
          <w:bCs/>
          <w:i w:val="0"/>
          <w:iCs w:val="0"/>
          <w:color w:val="auto"/>
          <w:sz w:val="52"/>
          <w:szCs w:val="52"/>
          <w:highlight w:val="none"/>
          <w:lang w:val="zh-CN"/>
        </w:rPr>
        <w:t>磋商响应文件</w:t>
      </w:r>
    </w:p>
    <w:p>
      <w:pPr>
        <w:autoSpaceDE w:val="0"/>
        <w:autoSpaceDN w:val="0"/>
        <w:adjustRightInd w:val="0"/>
        <w:snapToGrid w:val="0"/>
        <w:spacing w:line="360" w:lineRule="auto"/>
        <w:rPr>
          <w:rFonts w:hint="default" w:ascii="Times New Roman" w:hAnsi="Times New Roman" w:eastAsia="黑体" w:cs="Times New Roman"/>
          <w:b/>
          <w:bCs/>
          <w:i w:val="0"/>
          <w:iCs w:val="0"/>
          <w:color w:val="auto"/>
          <w:sz w:val="32"/>
          <w:szCs w:val="32"/>
          <w:highlight w:val="none"/>
          <w:lang w:val="zh-CN"/>
        </w:rPr>
      </w:pPr>
      <w:r>
        <w:rPr>
          <w:rFonts w:hint="default" w:ascii="Times New Roman" w:hAnsi="Times New Roman" w:eastAsia="仿宋_GB2312" w:cs="Times New Roman"/>
          <w:b/>
          <w:bCs/>
          <w:i w:val="0"/>
          <w:iCs w:val="0"/>
          <w:color w:val="auto"/>
          <w:sz w:val="32"/>
          <w:szCs w:val="32"/>
          <w:highlight w:val="none"/>
          <w:lang w:val="zh-CN"/>
        </w:rPr>
        <w:t xml:space="preserve">                    </w:t>
      </w:r>
      <w:r>
        <w:rPr>
          <w:rFonts w:hint="default" w:ascii="Times New Roman" w:hAnsi="Times New Roman" w:eastAsia="黑体" w:cs="Times New Roman"/>
          <w:b/>
          <w:bCs/>
          <w:i w:val="0"/>
          <w:iCs w:val="0"/>
          <w:color w:val="auto"/>
          <w:sz w:val="32"/>
          <w:szCs w:val="32"/>
          <w:highlight w:val="none"/>
          <w:lang w:val="zh-CN"/>
        </w:rPr>
        <w:t>（</w:t>
      </w:r>
      <w:r>
        <w:rPr>
          <w:rStyle w:val="99"/>
          <w:rFonts w:hint="default" w:ascii="Times New Roman" w:hAnsi="Times New Roman" w:cs="Times New Roman"/>
          <w:i w:val="0"/>
          <w:iCs w:val="0"/>
          <w:color w:val="auto"/>
          <w:highlight w:val="none"/>
        </w:rPr>
        <w:t>商务及技术文件</w:t>
      </w:r>
      <w:r>
        <w:rPr>
          <w:rFonts w:hint="default" w:ascii="Times New Roman" w:hAnsi="Times New Roman" w:eastAsia="黑体" w:cs="Times New Roman"/>
          <w:b/>
          <w:bCs/>
          <w:i w:val="0"/>
          <w:iCs w:val="0"/>
          <w:color w:val="auto"/>
          <w:sz w:val="32"/>
          <w:szCs w:val="32"/>
          <w:highlight w:val="none"/>
          <w:lang w:val="zh-CN"/>
        </w:rPr>
        <w:t>）</w:t>
      </w: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rPr>
      </w:pPr>
      <w:r>
        <w:rPr>
          <w:rFonts w:hint="default" w:ascii="Times New Roman" w:hAnsi="Times New Roman" w:eastAsia="仿宋_GB2312" w:cs="Times New Roman"/>
          <w:b/>
          <w:bCs/>
          <w:i w:val="0"/>
          <w:iCs w:val="0"/>
          <w:color w:val="auto"/>
          <w:sz w:val="32"/>
          <w:szCs w:val="32"/>
          <w:highlight w:val="none"/>
          <w:u w:val="single"/>
        </w:rPr>
        <w:t xml:space="preserve">                </w:t>
      </w:r>
      <w:r>
        <w:rPr>
          <w:rFonts w:hint="default" w:ascii="Times New Roman" w:hAnsi="Times New Roman" w:eastAsia="仿宋_GB2312" w:cs="Times New Roman"/>
          <w:b/>
          <w:bCs/>
          <w:i w:val="0"/>
          <w:iCs w:val="0"/>
          <w:color w:val="auto"/>
          <w:sz w:val="32"/>
          <w:szCs w:val="32"/>
          <w:highlight w:val="none"/>
        </w:rPr>
        <w:t xml:space="preserve">   </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30"/>
          <w:szCs w:val="30"/>
          <w:highlight w:val="none"/>
        </w:rPr>
      </w:pP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i w:val="0"/>
          <w:iCs w:val="0"/>
          <w:color w:val="auto"/>
          <w:sz w:val="30"/>
          <w:szCs w:val="30"/>
          <w:highlight w:val="none"/>
        </w:rPr>
        <w:t xml:space="preserve">      </w:t>
      </w:r>
      <w:r>
        <w:rPr>
          <w:rFonts w:hint="default" w:ascii="Times New Roman" w:hAnsi="Times New Roman" w:eastAsia="仿宋_GB2312" w:cs="Times New Roman"/>
          <w:b/>
          <w:bCs/>
          <w:i w:val="0"/>
          <w:iCs w:val="0"/>
          <w:color w:val="auto"/>
          <w:sz w:val="32"/>
          <w:szCs w:val="32"/>
          <w:highlight w:val="none"/>
          <w:lang w:val="zh-CN"/>
        </w:rPr>
        <w:t>供应商：</w:t>
      </w:r>
      <w:r>
        <w:rPr>
          <w:rFonts w:hint="default" w:ascii="Times New Roman" w:hAnsi="Times New Roman" w:eastAsia="仿宋_GB2312" w:cs="Times New Roman"/>
          <w:b/>
          <w:bCs/>
          <w:i w:val="0"/>
          <w:iCs w:val="0"/>
          <w:color w:val="auto"/>
          <w:sz w:val="32"/>
          <w:szCs w:val="32"/>
          <w:highlight w:val="none"/>
          <w:u w:val="single"/>
        </w:rPr>
        <w:t xml:space="preserve">                   </w:t>
      </w:r>
    </w:p>
    <w:p>
      <w:pPr>
        <w:autoSpaceDE w:val="0"/>
        <w:autoSpaceDN w:val="0"/>
        <w:adjustRightInd w:val="0"/>
        <w:snapToGrid w:val="0"/>
        <w:spacing w:line="360" w:lineRule="auto"/>
        <w:rPr>
          <w:rFonts w:hint="default" w:ascii="Times New Roman" w:hAnsi="Times New Roman" w:eastAsia="仿宋_GB2312" w:cs="Times New Roman"/>
          <w:b/>
          <w:bCs/>
          <w:i w:val="0"/>
          <w:iCs w:val="0"/>
          <w:color w:val="auto"/>
          <w:sz w:val="32"/>
          <w:szCs w:val="32"/>
          <w:highlight w:val="none"/>
        </w:rPr>
      </w:pP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r>
        <w:rPr>
          <w:rFonts w:hint="default" w:ascii="Times New Roman" w:hAnsi="Times New Roman" w:eastAsia="仿宋_GB2312" w:cs="Times New Roman"/>
          <w:b/>
          <w:bCs/>
          <w:i w:val="0"/>
          <w:iCs w:val="0"/>
          <w:color w:val="auto"/>
          <w:sz w:val="32"/>
          <w:szCs w:val="32"/>
          <w:highlight w:val="none"/>
          <w:lang w:val="zh-CN"/>
        </w:rPr>
        <w:t>时</w:t>
      </w:r>
      <w:r>
        <w:rPr>
          <w:rFonts w:hint="default" w:ascii="Times New Roman" w:hAnsi="Times New Roman" w:eastAsia="仿宋_GB2312" w:cs="Times New Roman"/>
          <w:b/>
          <w:bCs/>
          <w:i w:val="0"/>
          <w:iCs w:val="0"/>
          <w:color w:val="auto"/>
          <w:sz w:val="32"/>
          <w:szCs w:val="32"/>
          <w:highlight w:val="none"/>
        </w:rPr>
        <w:t xml:space="preserve">  </w:t>
      </w:r>
      <w:r>
        <w:rPr>
          <w:rFonts w:hint="default" w:ascii="Times New Roman" w:hAnsi="Times New Roman" w:eastAsia="仿宋_GB2312" w:cs="Times New Roman"/>
          <w:b/>
          <w:bCs/>
          <w:i w:val="0"/>
          <w:iCs w:val="0"/>
          <w:color w:val="auto"/>
          <w:sz w:val="32"/>
          <w:szCs w:val="32"/>
          <w:highlight w:val="none"/>
          <w:lang w:val="zh-CN"/>
        </w:rPr>
        <w:t>间：</w:t>
      </w:r>
      <w:r>
        <w:rPr>
          <w:rFonts w:hint="default" w:ascii="Times New Roman" w:hAnsi="Times New Roman" w:eastAsia="仿宋_GB2312" w:cs="Times New Roman"/>
          <w:b/>
          <w:bCs/>
          <w:i w:val="0"/>
          <w:iCs w:val="0"/>
          <w:color w:val="auto"/>
          <w:sz w:val="32"/>
          <w:szCs w:val="32"/>
          <w:highlight w:val="none"/>
          <w:u w:val="single"/>
        </w:rPr>
        <w:t xml:space="preserve">  </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br w:type="page"/>
      </w:r>
    </w:p>
    <w:p>
      <w:pPr>
        <w:autoSpaceDE w:val="0"/>
        <w:autoSpaceDN w:val="0"/>
        <w:adjustRightInd w:val="0"/>
        <w:snapToGrid w:val="0"/>
        <w:spacing w:line="360" w:lineRule="auto"/>
        <w:ind w:firstLine="964" w:firstLineChars="300"/>
        <w:rPr>
          <w:rFonts w:hint="default" w:ascii="Times New Roman" w:hAnsi="Times New Roman" w:eastAsia="仿宋_GB2312" w:cs="Times New Roman"/>
          <w:b/>
          <w:bCs/>
          <w:i w:val="0"/>
          <w:iCs w:val="0"/>
          <w:color w:val="auto"/>
          <w:sz w:val="32"/>
          <w:szCs w:val="32"/>
          <w:highlight w:val="none"/>
          <w:u w:val="single"/>
        </w:rPr>
      </w:pPr>
    </w:p>
    <w:p>
      <w:pPr>
        <w:pStyle w:val="24"/>
        <w:rPr>
          <w:rFonts w:hint="default" w:ascii="Times New Roman" w:hAnsi="Times New Roman" w:eastAsia="仿宋_GB2312" w:cs="Times New Roman"/>
          <w:i w:val="0"/>
          <w:iCs w:val="0"/>
          <w:color w:val="auto"/>
          <w:highlight w:val="none"/>
        </w:rPr>
      </w:pPr>
    </w:p>
    <w:p>
      <w:pPr>
        <w:pStyle w:val="4"/>
        <w:bidi w:val="0"/>
        <w:jc w:val="center"/>
        <w:rPr>
          <w:rFonts w:hint="default" w:ascii="仿宋_GB2312" w:hAnsi="仿宋_GB2312" w:eastAsia="仿宋_GB2312" w:cs="仿宋_GB2312"/>
          <w:b/>
          <w:bCs/>
          <w:color w:val="auto"/>
          <w:highlight w:val="none"/>
          <w:lang w:val="zh-CN"/>
        </w:rPr>
      </w:pPr>
      <w:bookmarkStart w:id="465" w:name="_Toc23604"/>
      <w:r>
        <w:rPr>
          <w:rFonts w:hint="default" w:ascii="仿宋_GB2312" w:hAnsi="仿宋_GB2312" w:eastAsia="仿宋_GB2312" w:cs="仿宋_GB2312"/>
          <w:b/>
          <w:bCs/>
          <w:color w:val="auto"/>
          <w:highlight w:val="none"/>
          <w:lang w:val="zh-CN"/>
        </w:rPr>
        <w:t>目  录</w:t>
      </w:r>
      <w:bookmarkEnd w:id="465"/>
    </w:p>
    <w:p>
      <w:pPr>
        <w:spacing w:after="120"/>
        <w:ind w:firstLine="315" w:firstLineChars="150"/>
        <w:rPr>
          <w:rFonts w:hint="default" w:ascii="Times New Roman" w:hAnsi="Times New Roman" w:eastAsia="仿宋_GB2312" w:cs="Times New Roman"/>
          <w:i w:val="0"/>
          <w:iCs w:val="0"/>
          <w:color w:val="auto"/>
          <w:highlight w:val="none"/>
        </w:rPr>
      </w:pP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第一部分  磋商响应函</w:t>
      </w: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 xml:space="preserve">第二部分  磋商响应报价表 </w:t>
      </w: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第三部分  偏离表</w:t>
      </w:r>
    </w:p>
    <w:p>
      <w:pPr>
        <w:spacing w:after="120" w:line="480" w:lineRule="auto"/>
        <w:ind w:firstLine="315" w:firstLineChars="150"/>
        <w:rPr>
          <w:rFonts w:hint="default" w:ascii="Times New Roman" w:hAnsi="Times New Roman" w:eastAsia="仿宋_GB2312" w:cs="Times New Roman"/>
          <w:i w:val="0"/>
          <w:iCs w:val="0"/>
          <w:color w:val="auto"/>
          <w:sz w:val="21"/>
          <w:szCs w:val="21"/>
          <w:highlight w:val="none"/>
        </w:rPr>
      </w:pPr>
      <w:r>
        <w:rPr>
          <w:rFonts w:hint="default" w:ascii="Times New Roman" w:hAnsi="Times New Roman" w:eastAsia="仿宋_GB2312" w:cs="Times New Roman"/>
          <w:i w:val="0"/>
          <w:iCs w:val="0"/>
          <w:color w:val="auto"/>
          <w:sz w:val="21"/>
          <w:szCs w:val="21"/>
          <w:highlight w:val="none"/>
        </w:rPr>
        <w:t>第四部分  响应方案说明</w:t>
      </w:r>
    </w:p>
    <w:p>
      <w:pPr>
        <w:pStyle w:val="24"/>
        <w:spacing w:line="480" w:lineRule="auto"/>
        <w:ind w:firstLine="480"/>
        <w:rPr>
          <w:rFonts w:hint="default" w:ascii="Times New Roman" w:hAnsi="Times New Roman" w:eastAsia="仿宋_GB2312" w:cs="Times New Roman"/>
          <w:i w:val="0"/>
          <w:iCs w:val="0"/>
          <w:color w:val="auto"/>
          <w:sz w:val="24"/>
          <w:highlight w:val="none"/>
        </w:rPr>
      </w:pPr>
    </w:p>
    <w:p>
      <w:pPr>
        <w:pStyle w:val="24"/>
        <w:ind w:firstLine="480"/>
        <w:rPr>
          <w:rFonts w:hint="default" w:ascii="Times New Roman" w:hAnsi="Times New Roman" w:eastAsia="仿宋_GB2312" w:cs="Times New Roman"/>
          <w:i w:val="0"/>
          <w:iCs w:val="0"/>
          <w:color w:val="auto"/>
          <w:sz w:val="24"/>
          <w:highlight w:val="none"/>
        </w:rPr>
      </w:pPr>
    </w:p>
    <w:p>
      <w:pPr>
        <w:widowControl/>
        <w:jc w:val="left"/>
        <w:rPr>
          <w:rFonts w:hint="default" w:ascii="Times New Roman" w:hAnsi="Times New Roman" w:eastAsia="仿宋_GB2312" w:cs="Times New Roman"/>
          <w:i w:val="0"/>
          <w:iCs w:val="0"/>
          <w:color w:val="auto"/>
          <w:highlight w:val="none"/>
        </w:rPr>
      </w:pPr>
      <w:r>
        <w:rPr>
          <w:rFonts w:hint="default" w:ascii="Times New Roman" w:hAnsi="Times New Roman" w:eastAsia="仿宋_GB2312" w:cs="Times New Roman"/>
          <w:i w:val="0"/>
          <w:iCs w:val="0"/>
          <w:color w:val="auto"/>
          <w:highlight w:val="none"/>
        </w:rPr>
        <w:br w:type="page"/>
      </w:r>
    </w:p>
    <w:p>
      <w:pPr>
        <w:pStyle w:val="4"/>
        <w:bidi w:val="0"/>
        <w:jc w:val="center"/>
        <w:rPr>
          <w:rFonts w:hint="default" w:ascii="仿宋_GB2312" w:hAnsi="仿宋_GB2312" w:eastAsia="仿宋_GB2312" w:cs="仿宋_GB2312"/>
          <w:b/>
          <w:bCs/>
          <w:color w:val="auto"/>
          <w:highlight w:val="none"/>
        </w:rPr>
      </w:pPr>
      <w:bookmarkStart w:id="466" w:name="_Toc26444"/>
      <w:r>
        <w:rPr>
          <w:rFonts w:hint="default" w:ascii="仿宋_GB2312" w:hAnsi="仿宋_GB2312" w:eastAsia="仿宋_GB2312" w:cs="仿宋_GB2312"/>
          <w:b/>
          <w:bCs/>
          <w:color w:val="auto"/>
          <w:highlight w:val="none"/>
          <w:lang w:val="zh-CN"/>
        </w:rPr>
        <w:t>第一部分</w:t>
      </w:r>
      <w:r>
        <w:rPr>
          <w:rFonts w:hint="default" w:ascii="仿宋_GB2312" w:hAnsi="仿宋_GB2312" w:eastAsia="仿宋_GB2312" w:cs="仿宋_GB2312"/>
          <w:b/>
          <w:bCs/>
          <w:color w:val="auto"/>
          <w:highlight w:val="none"/>
        </w:rPr>
        <w:t xml:space="preserve">  </w:t>
      </w:r>
      <w:r>
        <w:rPr>
          <w:rFonts w:hint="default" w:ascii="仿宋_GB2312" w:hAnsi="仿宋_GB2312" w:eastAsia="仿宋_GB2312" w:cs="仿宋_GB2312"/>
          <w:b/>
          <w:bCs/>
          <w:color w:val="auto"/>
          <w:highlight w:val="none"/>
          <w:lang w:val="zh-CN"/>
        </w:rPr>
        <w:t>磋商响应函</w:t>
      </w:r>
      <w:bookmarkEnd w:id="466"/>
    </w:p>
    <w:p>
      <w:pPr>
        <w:autoSpaceDE w:val="0"/>
        <w:autoSpaceDN w:val="0"/>
        <w:adjustRightInd w:val="0"/>
        <w:snapToGrid w:val="0"/>
        <w:spacing w:line="312" w:lineRule="auto"/>
        <w:rPr>
          <w:rFonts w:hint="default" w:ascii="Times New Roman" w:hAnsi="Times New Roman" w:eastAsia="仿宋_GB2312" w:cs="Times New Roman"/>
          <w:b/>
          <w:bCs/>
          <w:i w:val="0"/>
          <w:iCs w:val="0"/>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陕西中医药大学第二附属医院</w:t>
      </w:r>
      <w:r>
        <w:rPr>
          <w:rFonts w:hint="eastAsia" w:ascii="仿宋" w:hAnsi="仿宋" w:eastAsia="仿宋" w:cs="仿宋"/>
          <w:b/>
          <w:bCs/>
          <w:i w:val="0"/>
          <w:iCs w:val="0"/>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 xml:space="preserve">我单位收到贵公司   </w:t>
      </w:r>
      <w:r>
        <w:rPr>
          <w:rFonts w:hint="eastAsia" w:ascii="仿宋" w:hAnsi="仿宋" w:eastAsia="仿宋" w:cs="仿宋"/>
          <w:i w:val="0"/>
          <w:iCs w:val="0"/>
          <w:color w:val="auto"/>
          <w:sz w:val="21"/>
          <w:szCs w:val="21"/>
          <w:highlight w:val="none"/>
          <w:u w:val="single"/>
          <w:lang w:val="zh-CN"/>
        </w:rPr>
        <w:t>（项目名称    ）</w:t>
      </w:r>
      <w:r>
        <w:rPr>
          <w:rFonts w:hint="eastAsia" w:ascii="仿宋" w:hAnsi="仿宋" w:eastAsia="仿宋" w:cs="仿宋"/>
          <w:i w:val="0"/>
          <w:iCs w:val="0"/>
          <w:color w:val="auto"/>
          <w:sz w:val="21"/>
          <w:szCs w:val="21"/>
          <w:highlight w:val="none"/>
          <w:lang w:val="zh-CN"/>
        </w:rPr>
        <w:t>竞争性磋商文件，经详细研究，我们决定参加本次磋商活动。为此，我方郑重声明以下诸点，并负法律责任：</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一</w:t>
      </w:r>
      <w:r>
        <w:rPr>
          <w:rFonts w:hint="eastAsia" w:ascii="仿宋" w:hAnsi="仿宋" w:eastAsia="仿宋" w:cs="仿宋"/>
          <w:i w:val="0"/>
          <w:iCs w:val="0"/>
          <w:color w:val="auto"/>
          <w:sz w:val="21"/>
          <w:szCs w:val="21"/>
          <w:highlight w:val="none"/>
          <w:lang w:val="zh-CN"/>
        </w:rPr>
        <w:t>、愿意按照竞争性磋商文件中的要求，提供采购产品及技术服务，完成合同的责任和义务。</w:t>
      </w:r>
    </w:p>
    <w:p>
      <w:pPr>
        <w:keepNext w:val="0"/>
        <w:keepLines w:val="0"/>
        <w:pageBreakBefore w:val="0"/>
        <w:widowControl w:val="0"/>
        <w:kinsoku/>
        <w:wordWrap/>
        <w:overflowPunct/>
        <w:topLinePunct w:val="0"/>
        <w:autoSpaceDE w:val="0"/>
        <w:autoSpaceDN w:val="0"/>
        <w:bidi w:val="0"/>
        <w:adjustRightInd w:val="0"/>
        <w:snapToGrid w:val="0"/>
        <w:spacing w:line="430" w:lineRule="exact"/>
        <w:ind w:left="840" w:leftChars="250" w:hanging="315" w:hangingChars="1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二</w:t>
      </w:r>
      <w:r>
        <w:rPr>
          <w:rFonts w:hint="eastAsia" w:ascii="仿宋" w:hAnsi="仿宋" w:eastAsia="仿宋" w:cs="仿宋"/>
          <w:i w:val="0"/>
          <w:iCs w:val="0"/>
          <w:color w:val="auto"/>
          <w:sz w:val="21"/>
          <w:szCs w:val="21"/>
          <w:highlight w:val="none"/>
          <w:lang w:val="zh-CN"/>
        </w:rPr>
        <w:t>、按竞争性磋商文件的规定，我公司的首次磋商响应报价为人民币（大写）：</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元），并对其后的磋商报价负法律责任。</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三</w:t>
      </w:r>
      <w:r>
        <w:rPr>
          <w:rFonts w:hint="eastAsia" w:ascii="仿宋" w:hAnsi="仿宋" w:eastAsia="仿宋" w:cs="仿宋"/>
          <w:i w:val="0"/>
          <w:iCs w:val="0"/>
          <w:color w:val="auto"/>
          <w:sz w:val="21"/>
          <w:szCs w:val="21"/>
          <w:highlight w:val="none"/>
          <w:lang w:val="zh-CN"/>
        </w:rPr>
        <w:t>、我方提交的响应文件正本一份、副本</w:t>
      </w:r>
      <w:r>
        <w:rPr>
          <w:rFonts w:hint="eastAsia" w:ascii="仿宋" w:hAnsi="仿宋" w:eastAsia="仿宋" w:cs="仿宋"/>
          <w:i w:val="0"/>
          <w:iCs w:val="0"/>
          <w:color w:val="auto"/>
          <w:sz w:val="21"/>
          <w:szCs w:val="21"/>
          <w:highlight w:val="none"/>
          <w:u w:val="single"/>
          <w:lang w:val="zh-CN"/>
        </w:rPr>
        <w:t xml:space="preserve"> 两 </w:t>
      </w:r>
      <w:r>
        <w:rPr>
          <w:rFonts w:hint="eastAsia" w:ascii="仿宋" w:hAnsi="仿宋" w:eastAsia="仿宋" w:cs="仿宋"/>
          <w:i w:val="0"/>
          <w:iCs w:val="0"/>
          <w:color w:val="auto"/>
          <w:sz w:val="21"/>
          <w:szCs w:val="21"/>
          <w:highlight w:val="none"/>
          <w:lang w:val="zh-CN"/>
        </w:rPr>
        <w:t>份、</w:t>
      </w:r>
      <w:r>
        <w:rPr>
          <w:rFonts w:hint="eastAsia" w:ascii="仿宋" w:hAnsi="仿宋" w:eastAsia="仿宋" w:cs="仿宋"/>
          <w:i w:val="0"/>
          <w:iCs w:val="0"/>
          <w:color w:val="auto"/>
          <w:sz w:val="21"/>
          <w:szCs w:val="21"/>
          <w:highlight w:val="none"/>
          <w:lang w:val="en-US" w:eastAsia="zh-CN"/>
        </w:rPr>
        <w:t>电子版一份</w:t>
      </w:r>
      <w:r>
        <w:rPr>
          <w:rFonts w:hint="eastAsia" w:ascii="仿宋" w:hAnsi="仿宋" w:eastAsia="仿宋" w:cs="仿宋"/>
          <w:i w:val="0"/>
          <w:iCs w:val="0"/>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四</w:t>
      </w:r>
      <w:r>
        <w:rPr>
          <w:rFonts w:hint="eastAsia" w:ascii="仿宋" w:hAnsi="仿宋" w:eastAsia="仿宋" w:cs="仿宋"/>
          <w:i w:val="0"/>
          <w:iCs w:val="0"/>
          <w:color w:val="auto"/>
          <w:sz w:val="21"/>
          <w:szCs w:val="21"/>
          <w:highlight w:val="none"/>
          <w:lang w:val="zh-CN"/>
        </w:rPr>
        <w:t>、我方已详细阅读了竞争性磋商文件，完全理解并放弃提出含糊不清或易形成歧义的表述和资料。</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五、如果我方在磋商有效期内撤销响应文件，则响应保证金将被贵方不予退还。</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六</w:t>
      </w:r>
      <w:r>
        <w:rPr>
          <w:rFonts w:hint="eastAsia" w:ascii="仿宋" w:hAnsi="仿宋" w:eastAsia="仿宋" w:cs="仿宋"/>
          <w:i w:val="0"/>
          <w:iCs w:val="0"/>
          <w:color w:val="auto"/>
          <w:sz w:val="21"/>
          <w:szCs w:val="21"/>
          <w:highlight w:val="none"/>
          <w:lang w:val="zh-CN"/>
        </w:rPr>
        <w:t>、同意向贵方提供可能要求的与本次磋商有关的任何证据或资料，且尊重磋商小组的评审结论和结果。</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七、我方的响应文件有效期为自磋商之日起</w:t>
      </w:r>
      <w:r>
        <w:rPr>
          <w:rFonts w:hint="eastAsia" w:ascii="仿宋" w:hAnsi="仿宋" w:eastAsia="仿宋" w:cs="仿宋"/>
          <w:i w:val="0"/>
          <w:iCs w:val="0"/>
          <w:color w:val="auto"/>
          <w:sz w:val="21"/>
          <w:szCs w:val="21"/>
          <w:highlight w:val="none"/>
          <w:u w:val="single"/>
          <w:lang w:val="zh-CN"/>
        </w:rPr>
        <w:t xml:space="preserve"> </w:t>
      </w:r>
      <w:r>
        <w:rPr>
          <w:rFonts w:hint="eastAsia" w:ascii="仿宋" w:hAnsi="仿宋" w:eastAsia="仿宋" w:cs="仿宋"/>
          <w:i w:val="0"/>
          <w:iCs w:val="0"/>
          <w:color w:val="auto"/>
          <w:sz w:val="21"/>
          <w:szCs w:val="21"/>
          <w:highlight w:val="none"/>
          <w:u w:val="single"/>
        </w:rPr>
        <w:t xml:space="preserve">60 </w:t>
      </w:r>
      <w:r>
        <w:rPr>
          <w:rFonts w:hint="eastAsia" w:ascii="仿宋" w:hAnsi="仿宋" w:eastAsia="仿宋" w:cs="仿宋"/>
          <w:i w:val="0"/>
          <w:iCs w:val="0"/>
          <w:color w:val="auto"/>
          <w:sz w:val="21"/>
          <w:szCs w:val="21"/>
          <w:highlight w:val="none"/>
          <w:lang w:val="zh-CN"/>
        </w:rPr>
        <w:t>个日历天。若我方成交，响应文件有效期延长至合同执行完毕。</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八</w:t>
      </w:r>
      <w:r>
        <w:rPr>
          <w:rFonts w:hint="eastAsia" w:ascii="仿宋" w:hAnsi="仿宋" w:eastAsia="仿宋" w:cs="仿宋"/>
          <w:i w:val="0"/>
          <w:iCs w:val="0"/>
          <w:color w:val="auto"/>
          <w:sz w:val="21"/>
          <w:szCs w:val="21"/>
          <w:highlight w:val="none"/>
          <w:lang w:val="zh-CN"/>
        </w:rPr>
        <w:t>、如我方成交：</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（1）我方承诺在收到成交通知书后，在磋商文件规定的期限内与采购人签订合同。</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（2）我方承诺按照磋商文件规定向你方递交履约保证金。作为履行合同的担保。</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（3）我方承诺按合同约定的期限和地点，提供符合磋商文件要求的全部的货物和服务。</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（4）我方保证在领取成交通知书前按要求支付成交服务费。</w:t>
      </w:r>
    </w:p>
    <w:p>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九、有关于本响应文件的函电，请按下列地址联系。</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地</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址：</w:t>
      </w:r>
      <w:r>
        <w:rPr>
          <w:rFonts w:hint="eastAsia" w:ascii="仿宋" w:hAnsi="仿宋" w:eastAsia="仿宋" w:cs="仿宋"/>
          <w:i w:val="0"/>
          <w:iCs w:val="0"/>
          <w:color w:val="auto"/>
          <w:sz w:val="21"/>
          <w:szCs w:val="21"/>
          <w:highlight w:val="none"/>
        </w:rPr>
        <w:t>__________________________________________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开户银行：</w:t>
      </w:r>
      <w:r>
        <w:rPr>
          <w:rFonts w:hint="eastAsia" w:ascii="仿宋" w:hAnsi="仿宋" w:eastAsia="仿宋" w:cs="仿宋"/>
          <w:i w:val="0"/>
          <w:iCs w:val="0"/>
          <w:color w:val="auto"/>
          <w:sz w:val="21"/>
          <w:szCs w:val="21"/>
          <w:highlight w:val="none"/>
        </w:rPr>
        <w:t>__________________________________________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帐</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号：</w:t>
      </w:r>
      <w:r>
        <w:rPr>
          <w:rFonts w:hint="eastAsia" w:ascii="仿宋" w:hAnsi="仿宋" w:eastAsia="仿宋" w:cs="仿宋"/>
          <w:i w:val="0"/>
          <w:iCs w:val="0"/>
          <w:color w:val="auto"/>
          <w:sz w:val="21"/>
          <w:szCs w:val="21"/>
          <w:highlight w:val="none"/>
        </w:rPr>
        <w:t>__________________________________________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电</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话：</w:t>
      </w:r>
      <w:r>
        <w:rPr>
          <w:rFonts w:hint="eastAsia" w:ascii="仿宋" w:hAnsi="仿宋" w:eastAsia="仿宋" w:cs="仿宋"/>
          <w:i w:val="0"/>
          <w:iCs w:val="0"/>
          <w:color w:val="auto"/>
          <w:sz w:val="21"/>
          <w:szCs w:val="21"/>
          <w:highlight w:val="none"/>
        </w:rPr>
        <w:t>_____________________</w:t>
      </w:r>
      <w:r>
        <w:rPr>
          <w:rFonts w:hint="eastAsia" w:ascii="仿宋" w:hAnsi="仿宋" w:eastAsia="仿宋" w:cs="仿宋"/>
          <w:i w:val="0"/>
          <w:iCs w:val="0"/>
          <w:color w:val="auto"/>
          <w:sz w:val="21"/>
          <w:szCs w:val="21"/>
          <w:highlight w:val="none"/>
          <w:lang w:val="zh-CN"/>
        </w:rPr>
        <w:t>传</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真：</w:t>
      </w:r>
      <w:r>
        <w:rPr>
          <w:rFonts w:hint="eastAsia" w:ascii="仿宋" w:hAnsi="仿宋" w:eastAsia="仿宋" w:cs="仿宋"/>
          <w:i w:val="0"/>
          <w:iCs w:val="0"/>
          <w:color w:val="auto"/>
          <w:sz w:val="21"/>
          <w:szCs w:val="21"/>
          <w:highlight w:val="none"/>
        </w:rPr>
        <w:t>________________</w:t>
      </w:r>
    </w:p>
    <w:p>
      <w:pPr>
        <w:pStyle w:val="24"/>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供应商全称（公章）：</w:t>
      </w:r>
    </w:p>
    <w:p>
      <w:pPr>
        <w:pStyle w:val="24"/>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法定代表人或授权代表（签字）：</w:t>
      </w:r>
      <w:r>
        <w:rPr>
          <w:rFonts w:hint="eastAsia" w:ascii="仿宋" w:hAnsi="仿宋" w:eastAsia="仿宋" w:cs="仿宋"/>
          <w:i w:val="0"/>
          <w:iCs w:val="0"/>
          <w:color w:val="auto"/>
          <w:sz w:val="21"/>
          <w:szCs w:val="21"/>
          <w:highlight w:val="none"/>
        </w:rPr>
        <w:t>______________________________</w:t>
      </w:r>
    </w:p>
    <w:p>
      <w:pPr>
        <w:pStyle w:val="24"/>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_____</w:t>
      </w:r>
      <w:r>
        <w:rPr>
          <w:rFonts w:hint="eastAsia" w:ascii="仿宋" w:hAnsi="仿宋" w:eastAsia="仿宋" w:cs="仿宋"/>
          <w:i w:val="0"/>
          <w:iCs w:val="0"/>
          <w:color w:val="auto"/>
          <w:sz w:val="21"/>
          <w:szCs w:val="21"/>
          <w:highlight w:val="none"/>
          <w:lang w:val="zh-CN"/>
        </w:rPr>
        <w:t>年</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月</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日</w:t>
      </w:r>
    </w:p>
    <w:p>
      <w:pPr>
        <w:pStyle w:val="24"/>
        <w:rPr>
          <w:rFonts w:hint="default" w:ascii="Times New Roman" w:hAnsi="Times New Roman" w:eastAsia="仿宋_GB2312" w:cs="Times New Roman"/>
          <w:i w:val="0"/>
          <w:iCs w:val="0"/>
          <w:color w:val="auto"/>
          <w:highlight w:val="none"/>
        </w:rPr>
      </w:pPr>
    </w:p>
    <w:p>
      <w:pPr>
        <w:pStyle w:val="200"/>
        <w:ind w:firstLine="2640" w:firstLineChars="1100"/>
        <w:rPr>
          <w:rFonts w:hint="default" w:ascii="Times New Roman" w:hAnsi="Times New Roman" w:eastAsia="仿宋" w:cs="Times New Roman"/>
          <w:b/>
          <w:bCs/>
          <w:i w:val="0"/>
          <w:iCs w:val="0"/>
          <w:color w:val="auto"/>
          <w:sz w:val="32"/>
          <w:szCs w:val="32"/>
          <w:highlight w:val="none"/>
        </w:rPr>
      </w:pPr>
      <w:bookmarkStart w:id="467" w:name="_Hlt520356241"/>
      <w:bookmarkEnd w:id="467"/>
      <w:r>
        <w:rPr>
          <w:rFonts w:hint="default" w:ascii="Times New Roman" w:hAnsi="Times New Roman" w:cs="Times New Roman"/>
          <w:i w:val="0"/>
          <w:iCs w:val="0"/>
          <w:color w:val="auto"/>
          <w:highlight w:val="none"/>
        </w:rPr>
        <w:br w:type="page"/>
      </w:r>
      <w:bookmarkStart w:id="468" w:name="_Toc249515371"/>
      <w:bookmarkStart w:id="469" w:name="_Toc232395224"/>
      <w:bookmarkStart w:id="470" w:name="_Toc230583554"/>
      <w:bookmarkStart w:id="471" w:name="_Toc415499901"/>
      <w:bookmarkStart w:id="472" w:name="_Toc230013640"/>
      <w:bookmarkStart w:id="473" w:name="_Toc249525252"/>
      <w:bookmarkStart w:id="474" w:name="_Toc232176284"/>
      <w:bookmarkStart w:id="475" w:name="_Toc230099805"/>
      <w:bookmarkStart w:id="476" w:name="_Toc8496"/>
      <w:bookmarkStart w:id="477" w:name="_Toc256342154"/>
      <w:r>
        <w:rPr>
          <w:rFonts w:hint="default" w:ascii="仿宋_GB2312" w:hAnsi="仿宋_GB2312" w:eastAsia="仿宋_GB2312" w:cs="仿宋_GB2312"/>
          <w:b/>
          <w:bCs/>
          <w:color w:val="auto"/>
          <w:kern w:val="2"/>
          <w:sz w:val="32"/>
          <w:szCs w:val="32"/>
          <w:highlight w:val="none"/>
          <w:lang w:val="zh-CN" w:eastAsia="zh-CN" w:bidi="ar-SA"/>
        </w:rPr>
        <w:t>第二部分  磋商响应报价表</w:t>
      </w:r>
    </w:p>
    <w:p>
      <w:pPr>
        <w:autoSpaceDE w:val="0"/>
        <w:autoSpaceDN w:val="0"/>
        <w:adjustRightInd w:val="0"/>
        <w:snapToGrid w:val="0"/>
        <w:spacing w:line="360" w:lineRule="auto"/>
        <w:jc w:val="center"/>
        <w:rPr>
          <w:rFonts w:hint="default" w:ascii="Times New Roman" w:hAnsi="Times New Roman" w:eastAsia="仿宋_GB2312" w:cs="Times New Roman"/>
          <w:b/>
          <w:bCs/>
          <w:i w:val="0"/>
          <w:iCs w:val="0"/>
          <w:color w:val="auto"/>
          <w:sz w:val="32"/>
          <w:szCs w:val="32"/>
          <w:highlight w:val="none"/>
        </w:rPr>
      </w:pPr>
    </w:p>
    <w:p>
      <w:pPr>
        <w:pStyle w:val="5"/>
        <w:bidi w:val="0"/>
        <w:jc w:val="center"/>
        <w:rPr>
          <w:rFonts w:hint="eastAsia"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报价表</w:t>
      </w:r>
    </w:p>
    <w:p>
      <w:pPr>
        <w:autoSpaceDE w:val="0"/>
        <w:autoSpaceDN w:val="0"/>
        <w:adjustRightInd w:val="0"/>
        <w:snapToGrid w:val="0"/>
        <w:spacing w:line="360" w:lineRule="auto"/>
        <w:jc w:val="right"/>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项目编号及名称</w:t>
            </w:r>
          </w:p>
        </w:tc>
        <w:tc>
          <w:tcPr>
            <w:tcW w:w="6697" w:type="dxa"/>
            <w:vAlign w:val="center"/>
          </w:tcPr>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697" w:type="dxa"/>
            <w:vAlign w:val="center"/>
          </w:tcPr>
          <w:p>
            <w:pPr>
              <w:pStyle w:val="24"/>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697" w:type="dxa"/>
            <w:vAlign w:val="center"/>
          </w:tcPr>
          <w:p>
            <w:pPr>
              <w:pStyle w:val="24"/>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697" w:type="dxa"/>
            <w:vAlign w:val="center"/>
          </w:tcPr>
          <w:p>
            <w:pPr>
              <w:pStyle w:val="24"/>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882" w:type="dxa"/>
            <w:vAlign w:val="center"/>
          </w:tcPr>
          <w:p>
            <w:pPr>
              <w:pStyle w:val="24"/>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697" w:type="dxa"/>
            <w:vAlign w:val="center"/>
          </w:tcPr>
          <w:p>
            <w:pPr>
              <w:pStyle w:val="24"/>
              <w:rPr>
                <w:rFonts w:hint="eastAsia" w:ascii="仿宋" w:hAnsi="仿宋" w:eastAsia="仿宋" w:cs="仿宋"/>
                <w:i w:val="0"/>
                <w:iCs w:val="0"/>
                <w:color w:val="auto"/>
                <w:sz w:val="21"/>
                <w:szCs w:val="21"/>
                <w:highlight w:val="none"/>
              </w:rPr>
            </w:pPr>
          </w:p>
        </w:tc>
      </w:tr>
    </w:tbl>
    <w:p>
      <w:pPr>
        <w:pStyle w:val="24"/>
        <w:rPr>
          <w:rFonts w:hint="default" w:ascii="Times New Roman" w:hAnsi="Times New Roman" w:eastAsia="仿宋_GB2312" w:cs="Times New Roman"/>
          <w:i w:val="0"/>
          <w:iCs w:val="0"/>
          <w:color w:val="auto"/>
          <w:highlight w:val="none"/>
          <w:lang w:val="zh-CN"/>
        </w:rPr>
      </w:pPr>
    </w:p>
    <w:p>
      <w:pPr>
        <w:autoSpaceDE w:val="0"/>
        <w:autoSpaceDN w:val="0"/>
        <w:adjustRightInd w:val="0"/>
        <w:snapToGrid w:val="0"/>
        <w:spacing w:line="360" w:lineRule="auto"/>
        <w:ind w:firstLine="1080" w:firstLineChars="45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供应商</w:t>
      </w:r>
      <w:r>
        <w:rPr>
          <w:rFonts w:hint="default" w:ascii="Times New Roman" w:hAnsi="Times New Roman" w:eastAsia="仿宋_GB2312" w:cs="Times New Roman"/>
          <w:i w:val="0"/>
          <w:iCs w:val="0"/>
          <w:color w:val="auto"/>
          <w:sz w:val="24"/>
          <w:highlight w:val="none"/>
        </w:rPr>
        <w:t xml:space="preserve">                        </w:t>
      </w:r>
      <w:r>
        <w:rPr>
          <w:rFonts w:hint="default" w:ascii="Times New Roman" w:hAnsi="Times New Roman" w:eastAsia="仿宋_GB2312" w:cs="Times New Roman"/>
          <w:i w:val="0"/>
          <w:iCs w:val="0"/>
          <w:color w:val="auto"/>
          <w:sz w:val="24"/>
          <w:highlight w:val="none"/>
          <w:lang w:val="zh-CN"/>
        </w:rPr>
        <w:t>法定代表人</w:t>
      </w:r>
      <w:r>
        <w:rPr>
          <w:rFonts w:hint="default" w:ascii="Times New Roman" w:hAnsi="Times New Roman" w:eastAsia="仿宋_GB2312" w:cs="Times New Roman"/>
          <w:i w:val="0"/>
          <w:iCs w:val="0"/>
          <w:color w:val="auto"/>
          <w:sz w:val="24"/>
          <w:highlight w:val="none"/>
        </w:rPr>
        <w:t>或</w:t>
      </w:r>
      <w:r>
        <w:rPr>
          <w:rFonts w:hint="default" w:ascii="Times New Roman" w:hAnsi="Times New Roman" w:eastAsia="仿宋_GB2312" w:cs="Times New Roman"/>
          <w:i w:val="0"/>
          <w:iCs w:val="0"/>
          <w:color w:val="auto"/>
          <w:sz w:val="24"/>
          <w:highlight w:val="none"/>
          <w:lang w:val="zh-CN"/>
        </w:rPr>
        <w:t>授权代表</w:t>
      </w:r>
    </w:p>
    <w:p>
      <w:pPr>
        <w:autoSpaceDE w:val="0"/>
        <w:autoSpaceDN w:val="0"/>
        <w:adjustRightInd w:val="0"/>
        <w:snapToGrid w:val="0"/>
        <w:spacing w:line="360" w:lineRule="auto"/>
        <w:ind w:firstLine="960" w:firstLineChars="40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（公章）：                            （</w:t>
      </w:r>
      <w:r>
        <w:rPr>
          <w:rFonts w:hint="default" w:ascii="Times New Roman" w:hAnsi="Times New Roman" w:eastAsia="仿宋_GB2312" w:cs="Times New Roman"/>
          <w:b/>
          <w:i w:val="0"/>
          <w:iCs w:val="0"/>
          <w:color w:val="auto"/>
          <w:sz w:val="24"/>
          <w:highlight w:val="none"/>
          <w:lang w:val="zh-CN"/>
        </w:rPr>
        <w:t>签字</w:t>
      </w:r>
      <w:r>
        <w:rPr>
          <w:rFonts w:hint="default" w:ascii="Times New Roman" w:hAnsi="Times New Roman" w:eastAsia="仿宋_GB2312" w:cs="Times New Roman"/>
          <w:i w:val="0"/>
          <w:iCs w:val="0"/>
          <w:color w:val="auto"/>
          <w:sz w:val="24"/>
          <w:highlight w:val="none"/>
          <w:lang w:val="zh-CN"/>
        </w:rPr>
        <w:t>）：</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24"/>
          <w:highlight w:val="none"/>
          <w:lang w:val="zh-CN"/>
        </w:rPr>
      </w:pPr>
    </w:p>
    <w:p>
      <w:pPr>
        <w:autoSpaceDE w:val="0"/>
        <w:autoSpaceDN w:val="0"/>
        <w:adjustRightInd w:val="0"/>
        <w:snapToGrid w:val="0"/>
        <w:spacing w:line="360" w:lineRule="auto"/>
        <w:ind w:firstLine="240" w:firstLineChars="10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 xml:space="preserve">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 xml:space="preserve">年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月</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日</w:t>
      </w: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pP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pP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pPr>
        <w:pStyle w:val="5"/>
        <w:bidi w:val="0"/>
        <w:jc w:val="center"/>
        <w:rPr>
          <w:rFonts w:hint="default" w:ascii="仿宋_GB2312" w:hAnsi="仿宋_GB2312" w:eastAsia="仿宋_GB2312" w:cs="仿宋_GB2312"/>
          <w:b/>
          <w:bCs/>
          <w:color w:val="auto"/>
          <w:sz w:val="28"/>
          <w:szCs w:val="36"/>
          <w:highlight w:val="none"/>
        </w:rPr>
      </w:pPr>
      <w:r>
        <w:rPr>
          <w:rFonts w:hint="default" w:ascii="仿宋_GB2312" w:hAnsi="仿宋_GB2312" w:eastAsia="仿宋_GB2312" w:cs="仿宋_GB2312"/>
          <w:b/>
          <w:bCs/>
          <w:color w:val="auto"/>
          <w:sz w:val="28"/>
          <w:szCs w:val="36"/>
          <w:highlight w:val="none"/>
        </w:rPr>
        <w:t>（首次）分项报价表</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供应商根据项目情况自行编制)</w:t>
      </w: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注：本表中的“总价”与“响应报价表”中的</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总报价</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一致。</w:t>
      </w:r>
    </w:p>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                         法定代表人或授权代表</w:t>
      </w:r>
    </w:p>
    <w:p>
      <w:pPr>
        <w:adjustRightInd w:val="0"/>
        <w:snapToGrid w:val="0"/>
        <w:spacing w:line="360" w:lineRule="auto"/>
        <w:ind w:left="-525" w:leftChars="-250" w:firstLine="630" w:firstLineChars="3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p>
    <w:p>
      <w:pPr>
        <w:adjustRightInd w:val="0"/>
        <w:snapToGrid w:val="0"/>
        <w:spacing w:line="360" w:lineRule="auto"/>
        <w:jc w:val="center"/>
        <w:rPr>
          <w:rFonts w:hint="default" w:ascii="Times New Roman" w:hAnsi="Times New Roman" w:eastAsia="仿宋_GB2312" w:cs="Times New Roman"/>
          <w:b/>
          <w:i w:val="0"/>
          <w:iCs w:val="0"/>
          <w:color w:val="auto"/>
          <w:sz w:val="42"/>
          <w:highlight w:val="none"/>
        </w:rPr>
      </w:pPr>
    </w:p>
    <w:p>
      <w:pPr>
        <w:spacing w:line="288" w:lineRule="auto"/>
        <w:ind w:left="424" w:leftChars="202"/>
        <w:rPr>
          <w:rFonts w:hint="default" w:ascii="Times New Roman" w:hAnsi="Times New Roman" w:eastAsia="仿宋_GB2312" w:cs="Times New Roman"/>
          <w:bCs/>
          <w:i w:val="0"/>
          <w:iCs w:val="0"/>
          <w:color w:val="auto"/>
          <w:sz w:val="24"/>
          <w:highlight w:val="none"/>
        </w:rPr>
      </w:pPr>
    </w:p>
    <w:p>
      <w:pPr>
        <w:pStyle w:val="24"/>
        <w:rPr>
          <w:rFonts w:hint="default" w:ascii="Times New Roman" w:hAnsi="Times New Roman" w:eastAsia="仿宋_GB2312" w:cs="Times New Roman"/>
          <w:i w:val="0"/>
          <w:iCs w:val="0"/>
          <w:color w:val="auto"/>
          <w:highlight w:val="none"/>
        </w:rPr>
      </w:pPr>
    </w:p>
    <w:p>
      <w:pPr>
        <w:pStyle w:val="24"/>
        <w:rPr>
          <w:rFonts w:hint="default" w:ascii="Times New Roman" w:hAnsi="Times New Roman" w:eastAsia="仿宋_GB2312" w:cs="Times New Roman"/>
          <w:i w:val="0"/>
          <w:iCs w:val="0"/>
          <w:color w:val="auto"/>
          <w:highlight w:val="none"/>
        </w:rPr>
      </w:pPr>
    </w:p>
    <w:p>
      <w:pPr>
        <w:pStyle w:val="24"/>
        <w:rPr>
          <w:rFonts w:hint="default" w:ascii="Times New Roman" w:hAnsi="Times New Roman" w:eastAsia="仿宋_GB2312" w:cs="Times New Roman"/>
          <w:i w:val="0"/>
          <w:iCs w:val="0"/>
          <w:color w:val="auto"/>
          <w:highlight w:val="none"/>
        </w:rPr>
      </w:pPr>
    </w:p>
    <w:p>
      <w:pPr>
        <w:pStyle w:val="24"/>
        <w:rPr>
          <w:rFonts w:hint="default" w:ascii="Times New Roman" w:hAnsi="Times New Roman" w:eastAsia="仿宋_GB2312" w:cs="Times New Roman"/>
          <w:i w:val="0"/>
          <w:iCs w:val="0"/>
          <w:color w:val="auto"/>
          <w:highlight w:val="none"/>
        </w:rPr>
      </w:pPr>
    </w:p>
    <w:p>
      <w:pPr>
        <w:rPr>
          <w:rFonts w:hint="default" w:ascii="Times New Roman" w:hAnsi="Times New Roman" w:eastAsia="仿宋_GB2312" w:cs="Times New Roman"/>
          <w:b/>
          <w:i w:val="0"/>
          <w:iCs w:val="0"/>
          <w:color w:val="auto"/>
          <w:sz w:val="28"/>
          <w:szCs w:val="28"/>
          <w:highlight w:val="none"/>
        </w:rPr>
      </w:pPr>
      <w:r>
        <w:rPr>
          <w:rFonts w:hint="default" w:ascii="Times New Roman" w:hAnsi="Times New Roman" w:eastAsia="仿宋_GB2312" w:cs="Times New Roman"/>
          <w:b/>
          <w:i w:val="0"/>
          <w:iCs w:val="0"/>
          <w:color w:val="auto"/>
          <w:sz w:val="28"/>
          <w:szCs w:val="28"/>
          <w:highlight w:val="none"/>
        </w:rPr>
        <w:br w:type="page"/>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68"/>
    <w:bookmarkEnd w:id="469"/>
    <w:bookmarkEnd w:id="470"/>
    <w:bookmarkEnd w:id="471"/>
    <w:bookmarkEnd w:id="472"/>
    <w:bookmarkEnd w:id="473"/>
    <w:bookmarkEnd w:id="474"/>
    <w:bookmarkEnd w:id="475"/>
    <w:bookmarkEnd w:id="476"/>
    <w:bookmarkEnd w:id="477"/>
    <w:p>
      <w:pPr>
        <w:pStyle w:val="30"/>
        <w:rPr>
          <w:rFonts w:hint="default" w:ascii="Times New Roman" w:hAnsi="Times New Roman" w:eastAsia="仿宋_GB2312" w:cs="Times New Roman"/>
          <w:i w:val="0"/>
          <w:iCs w:val="0"/>
          <w:color w:val="auto"/>
          <w:highlight w:val="none"/>
          <w:u w:val="single"/>
        </w:rPr>
      </w:pPr>
      <w:bookmarkStart w:id="478" w:name="_Toc500747011"/>
      <w:bookmarkStart w:id="479" w:name="_Toc496324624"/>
      <w:bookmarkStart w:id="480" w:name="_Toc230583555"/>
      <w:bookmarkStart w:id="481" w:name="_Toc232395225"/>
      <w:bookmarkStart w:id="482" w:name="_Toc184043059"/>
      <w:bookmarkStart w:id="483" w:name="_Toc177189246"/>
      <w:bookmarkStart w:id="484" w:name="_Toc499711088"/>
      <w:bookmarkStart w:id="485" w:name="_Toc492955460"/>
      <w:bookmarkStart w:id="486" w:name="_Toc177817345"/>
      <w:bookmarkStart w:id="487" w:name="_Toc500747107"/>
      <w:bookmarkStart w:id="488" w:name="_Toc249515372"/>
      <w:bookmarkStart w:id="489" w:name="_Toc415499902"/>
      <w:bookmarkStart w:id="490" w:name="_Toc53722866"/>
      <w:bookmarkStart w:id="491" w:name="_Toc83547687"/>
      <w:bookmarkStart w:id="492" w:name="_Toc503063459"/>
      <w:bookmarkStart w:id="493" w:name="_Toc499711929"/>
      <w:bookmarkStart w:id="494" w:name="_Toc177995484"/>
      <w:bookmarkStart w:id="495" w:name="_Toc225933091"/>
      <w:bookmarkStart w:id="496" w:name="_Toc389620242"/>
      <w:bookmarkStart w:id="497" w:name="_Toc176882553"/>
      <w:bookmarkStart w:id="498" w:name="_Toc385992402"/>
      <w:bookmarkStart w:id="499" w:name="_Toc256342155"/>
      <w:bookmarkStart w:id="500" w:name="_Toc230013641"/>
      <w:bookmarkStart w:id="501" w:name="_Toc232176285"/>
      <w:bookmarkStart w:id="502" w:name="_Toc500747234"/>
      <w:bookmarkStart w:id="503" w:name="_Toc230099806"/>
      <w:bookmarkStart w:id="504" w:name="_Toc70687203"/>
      <w:bookmarkStart w:id="505" w:name="_Toc249525253"/>
    </w:p>
    <w:p>
      <w:pPr>
        <w:pStyle w:val="4"/>
        <w:bidi w:val="0"/>
        <w:jc w:val="center"/>
        <w:rPr>
          <w:rFonts w:hint="default" w:ascii="仿宋_GB2312" w:hAnsi="仿宋_GB2312" w:eastAsia="仿宋_GB2312" w:cs="仿宋_GB2312"/>
          <w:b/>
          <w:bCs/>
          <w:color w:val="auto"/>
          <w:highlight w:val="none"/>
        </w:rPr>
      </w:pPr>
      <w:bookmarkStart w:id="506" w:name="_Toc29"/>
      <w:r>
        <w:rPr>
          <w:rFonts w:hint="default" w:ascii="仿宋_GB2312" w:hAnsi="仿宋_GB2312" w:eastAsia="仿宋_GB2312" w:cs="仿宋_GB2312"/>
          <w:b/>
          <w:bCs/>
          <w:color w:val="auto"/>
          <w:highlight w:val="none"/>
        </w:rPr>
        <w:t>第三部分  偏离表</w:t>
      </w:r>
      <w:bookmarkEnd w:id="506"/>
    </w:p>
    <w:p>
      <w:pPr>
        <w:rPr>
          <w:rFonts w:hint="default" w:ascii="Times New Roman" w:hAnsi="Times New Roman" w:eastAsia="仿宋_GB2312" w:cs="Times New Roman"/>
          <w:i w:val="0"/>
          <w:iCs w:val="0"/>
          <w:color w:val="auto"/>
          <w:highlight w:val="none"/>
        </w:rPr>
      </w:pPr>
    </w:p>
    <w:p>
      <w:pPr>
        <w:pStyle w:val="5"/>
        <w:bidi w:val="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一、商务、合同条款偏离表</w:t>
      </w:r>
    </w:p>
    <w:p>
      <w:pPr>
        <w:pStyle w:val="24"/>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p>
    <w:p>
      <w:pPr>
        <w:pStyle w:val="24"/>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序号</w:t>
            </w:r>
          </w:p>
        </w:tc>
        <w:tc>
          <w:tcPr>
            <w:tcW w:w="2835"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磋商文件商务、合同条款</w:t>
            </w:r>
          </w:p>
        </w:tc>
        <w:tc>
          <w:tcPr>
            <w:tcW w:w="1701"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417"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195"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jc w:val="center"/>
              <w:rPr>
                <w:rFonts w:hint="eastAsia" w:ascii="仿宋" w:hAnsi="仿宋" w:eastAsia="仿宋" w:cs="仿宋"/>
                <w:i w:val="0"/>
                <w:iCs w:val="0"/>
                <w:color w:val="auto"/>
                <w:sz w:val="21"/>
                <w:szCs w:val="21"/>
                <w:highlight w:val="none"/>
              </w:rPr>
            </w:pPr>
          </w:p>
        </w:tc>
        <w:tc>
          <w:tcPr>
            <w:tcW w:w="2835" w:type="dxa"/>
          </w:tcPr>
          <w:p>
            <w:pPr>
              <w:pStyle w:val="3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eastAsia="zh-CN"/>
              </w:rPr>
              <w:t>服务地点</w:t>
            </w:r>
            <w:r>
              <w:rPr>
                <w:rFonts w:hint="eastAsia" w:ascii="仿宋" w:hAnsi="仿宋" w:eastAsia="仿宋" w:cs="仿宋"/>
                <w:i w:val="0"/>
                <w:iCs w:val="0"/>
                <w:color w:val="auto"/>
                <w:sz w:val="21"/>
                <w:szCs w:val="21"/>
                <w:highlight w:val="none"/>
              </w:rPr>
              <w:t>)</w:t>
            </w:r>
          </w:p>
        </w:tc>
        <w:tc>
          <w:tcPr>
            <w:tcW w:w="1701" w:type="dxa"/>
          </w:tcPr>
          <w:p>
            <w:pPr>
              <w:pStyle w:val="30"/>
              <w:jc w:val="center"/>
              <w:rPr>
                <w:rFonts w:hint="eastAsia" w:ascii="仿宋" w:hAnsi="仿宋" w:eastAsia="仿宋" w:cs="仿宋"/>
                <w:i w:val="0"/>
                <w:iCs w:val="0"/>
                <w:color w:val="auto"/>
                <w:sz w:val="21"/>
                <w:szCs w:val="21"/>
                <w:highlight w:val="none"/>
              </w:rPr>
            </w:pPr>
          </w:p>
        </w:tc>
        <w:tc>
          <w:tcPr>
            <w:tcW w:w="1417" w:type="dxa"/>
          </w:tcPr>
          <w:p>
            <w:pPr>
              <w:pStyle w:val="30"/>
              <w:jc w:val="center"/>
              <w:rPr>
                <w:rFonts w:hint="eastAsia" w:ascii="仿宋" w:hAnsi="仿宋" w:eastAsia="仿宋" w:cs="仿宋"/>
                <w:i w:val="0"/>
                <w:iCs w:val="0"/>
                <w:color w:val="auto"/>
                <w:sz w:val="21"/>
                <w:szCs w:val="21"/>
                <w:highlight w:val="none"/>
              </w:rPr>
            </w:pPr>
          </w:p>
        </w:tc>
        <w:tc>
          <w:tcPr>
            <w:tcW w:w="2195" w:type="dxa"/>
          </w:tcPr>
          <w:p>
            <w:pPr>
              <w:pStyle w:val="30"/>
              <w:jc w:val="center"/>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eastAsia="zh-CN"/>
              </w:rPr>
              <w:t>服务期</w:t>
            </w:r>
            <w:r>
              <w:rPr>
                <w:rFonts w:hint="eastAsia" w:ascii="仿宋" w:hAnsi="仿宋" w:eastAsia="仿宋" w:cs="仿宋"/>
                <w:bCs/>
                <w:i w:val="0"/>
                <w:iCs w:val="0"/>
                <w:color w:val="auto"/>
                <w:sz w:val="21"/>
                <w:szCs w:val="21"/>
                <w:highlight w:val="none"/>
              </w:rPr>
              <w:t>)</w:t>
            </w:r>
          </w:p>
        </w:tc>
        <w:tc>
          <w:tcPr>
            <w:tcW w:w="1701" w:type="dxa"/>
          </w:tcPr>
          <w:p>
            <w:pPr>
              <w:pStyle w:val="30"/>
              <w:ind w:left="1080" w:leftChars="257" w:hanging="540"/>
              <w:jc w:val="center"/>
              <w:rPr>
                <w:rFonts w:hint="eastAsia" w:ascii="仿宋" w:hAnsi="仿宋" w:eastAsia="仿宋" w:cs="仿宋"/>
                <w:i w:val="0"/>
                <w:iCs w:val="0"/>
                <w:color w:val="auto"/>
                <w:sz w:val="21"/>
                <w:szCs w:val="21"/>
                <w:highlight w:val="none"/>
              </w:rPr>
            </w:pPr>
          </w:p>
        </w:tc>
        <w:tc>
          <w:tcPr>
            <w:tcW w:w="1417" w:type="dxa"/>
          </w:tcPr>
          <w:p>
            <w:pPr>
              <w:pStyle w:val="30"/>
              <w:ind w:left="1080" w:leftChars="257" w:hanging="540"/>
              <w:jc w:val="center"/>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(付款方式)</w:t>
            </w: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w:t>
            </w: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vAlign w:val="center"/>
          </w:tcPr>
          <w:p>
            <w:pPr>
              <w:spacing w:line="360" w:lineRule="auto"/>
              <w:jc w:val="center"/>
              <w:rPr>
                <w:rFonts w:hint="eastAsia" w:ascii="仿宋" w:hAnsi="仿宋" w:eastAsia="仿宋" w:cs="仿宋"/>
                <w:bCs/>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i w:val="0"/>
                <w:iCs w:val="0"/>
                <w:color w:val="auto"/>
                <w:sz w:val="21"/>
                <w:szCs w:val="21"/>
                <w:highlight w:val="none"/>
              </w:rPr>
            </w:pPr>
          </w:p>
        </w:tc>
        <w:tc>
          <w:tcPr>
            <w:tcW w:w="2835" w:type="dxa"/>
          </w:tcPr>
          <w:p>
            <w:pPr>
              <w:pStyle w:val="30"/>
              <w:ind w:left="1080" w:leftChars="257" w:hanging="540"/>
              <w:rPr>
                <w:rFonts w:hint="eastAsia" w:ascii="仿宋" w:hAnsi="仿宋" w:eastAsia="仿宋" w:cs="仿宋"/>
                <w:i w:val="0"/>
                <w:iCs w:val="0"/>
                <w:color w:val="auto"/>
                <w:sz w:val="21"/>
                <w:szCs w:val="21"/>
                <w:highlight w:val="none"/>
              </w:rPr>
            </w:pPr>
          </w:p>
        </w:tc>
        <w:tc>
          <w:tcPr>
            <w:tcW w:w="1701" w:type="dxa"/>
          </w:tcPr>
          <w:p>
            <w:pPr>
              <w:pStyle w:val="30"/>
              <w:ind w:left="1080" w:leftChars="257" w:hanging="540"/>
              <w:rPr>
                <w:rFonts w:hint="eastAsia" w:ascii="仿宋" w:hAnsi="仿宋" w:eastAsia="仿宋" w:cs="仿宋"/>
                <w:i w:val="0"/>
                <w:iCs w:val="0"/>
                <w:color w:val="auto"/>
                <w:sz w:val="21"/>
                <w:szCs w:val="21"/>
                <w:highlight w:val="none"/>
              </w:rPr>
            </w:pPr>
          </w:p>
        </w:tc>
        <w:tc>
          <w:tcPr>
            <w:tcW w:w="1417" w:type="dxa"/>
          </w:tcPr>
          <w:p>
            <w:pPr>
              <w:pStyle w:val="30"/>
              <w:ind w:left="1080" w:leftChars="257" w:hanging="540"/>
              <w:rPr>
                <w:rFonts w:hint="eastAsia" w:ascii="仿宋" w:hAnsi="仿宋" w:eastAsia="仿宋" w:cs="仿宋"/>
                <w:i w:val="0"/>
                <w:iCs w:val="0"/>
                <w:color w:val="auto"/>
                <w:sz w:val="21"/>
                <w:szCs w:val="21"/>
                <w:highlight w:val="none"/>
              </w:rPr>
            </w:pPr>
          </w:p>
        </w:tc>
        <w:tc>
          <w:tcPr>
            <w:tcW w:w="2195" w:type="dxa"/>
          </w:tcPr>
          <w:p>
            <w:pPr>
              <w:pStyle w:val="30"/>
              <w:ind w:left="1080" w:leftChars="257" w:hanging="540"/>
              <w:rPr>
                <w:rFonts w:hint="eastAsia" w:ascii="仿宋" w:hAnsi="仿宋" w:eastAsia="仿宋" w:cs="仿宋"/>
                <w:i w:val="0"/>
                <w:iCs w:val="0"/>
                <w:color w:val="auto"/>
                <w:sz w:val="21"/>
                <w:szCs w:val="21"/>
                <w:highlight w:val="none"/>
              </w:rPr>
            </w:pPr>
          </w:p>
        </w:tc>
      </w:tr>
    </w:tbl>
    <w:p>
      <w:pPr>
        <w:pStyle w:val="30"/>
        <w:ind w:left="1080" w:leftChars="257" w:hanging="540"/>
        <w:rPr>
          <w:rFonts w:hint="eastAsia" w:ascii="仿宋" w:hAnsi="仿宋" w:eastAsia="仿宋" w:cs="仿宋"/>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3780" w:firstLineChars="18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1、对完全响应的，在下表相应列中标注“○”。对有偏离的条目在本表相应列中标注“正偏离”或“负偏离”，并在“偏离简述”栏中加以说明。</w:t>
      </w:r>
    </w:p>
    <w:p>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2、正偏离是指应答的条件高于磋商文件要求，负偏离是指应答的条件低于磋商文件要求，正偏离项目不作扣分处理。</w:t>
      </w:r>
    </w:p>
    <w:p>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30"/>
        <w:ind w:left="1080" w:leftChars="257" w:hanging="540"/>
        <w:rPr>
          <w:rFonts w:hint="default" w:ascii="Times New Roman" w:hAnsi="Times New Roman" w:eastAsia="仿宋_GB2312" w:cs="Times New Roman"/>
          <w:i w:val="0"/>
          <w:iCs w:val="0"/>
          <w:color w:val="auto"/>
          <w:sz w:val="24"/>
          <w:szCs w:val="24"/>
          <w:highlight w:val="none"/>
        </w:rPr>
      </w:pPr>
    </w:p>
    <w:p>
      <w:pPr>
        <w:pStyle w:val="5"/>
        <w:bidi w:val="0"/>
        <w:jc w:val="center"/>
        <w:rPr>
          <w:rFonts w:hint="default" w:ascii="Times New Roman" w:hAnsi="Times New Roman" w:eastAsia="仿宋_GB2312" w:cs="Times New Roman"/>
          <w:i w:val="0"/>
          <w:iCs w:val="0"/>
          <w:color w:val="auto"/>
          <w:highlight w:val="none"/>
        </w:rPr>
      </w:pPr>
      <w:bookmarkStart w:id="507" w:name="_Toc414445775"/>
      <w:bookmarkStart w:id="508" w:name="_Toc410631184"/>
      <w:bookmarkStart w:id="509" w:name="_Toc416103825"/>
      <w:bookmarkStart w:id="510" w:name="_Toc7005136"/>
      <w:r>
        <w:rPr>
          <w:rFonts w:hint="default" w:ascii="仿宋_GB2312" w:hAnsi="仿宋_GB2312" w:eastAsia="仿宋_GB2312" w:cs="仿宋_GB2312"/>
          <w:b/>
          <w:bCs/>
          <w:color w:val="auto"/>
          <w:kern w:val="2"/>
          <w:sz w:val="28"/>
          <w:szCs w:val="36"/>
          <w:highlight w:val="none"/>
          <w:lang w:val="en-US" w:eastAsia="zh-CN" w:bidi="ar-SA"/>
        </w:rPr>
        <w:t>二、技术</w:t>
      </w:r>
      <w:r>
        <w:rPr>
          <w:rFonts w:hint="default" w:ascii="仿宋_GB2312" w:hAnsi="仿宋_GB2312" w:eastAsia="仿宋_GB2312" w:cs="仿宋_GB2312"/>
          <w:b/>
          <w:bCs/>
          <w:color w:val="auto"/>
          <w:sz w:val="28"/>
          <w:szCs w:val="36"/>
          <w:highlight w:val="none"/>
          <w:lang w:val="en-US" w:eastAsia="zh-CN"/>
        </w:rPr>
        <w:t>偏离</w:t>
      </w:r>
      <w:r>
        <w:rPr>
          <w:rFonts w:hint="default" w:ascii="仿宋_GB2312" w:hAnsi="仿宋_GB2312" w:eastAsia="仿宋_GB2312" w:cs="仿宋_GB2312"/>
          <w:b/>
          <w:bCs/>
          <w:color w:val="auto"/>
          <w:kern w:val="2"/>
          <w:sz w:val="28"/>
          <w:szCs w:val="36"/>
          <w:highlight w:val="none"/>
          <w:lang w:val="en-US" w:eastAsia="zh-CN" w:bidi="ar-SA"/>
        </w:rPr>
        <w:t>表</w:t>
      </w:r>
      <w:bookmarkEnd w:id="507"/>
      <w:bookmarkEnd w:id="508"/>
      <w:bookmarkEnd w:id="509"/>
      <w:bookmarkEnd w:id="510"/>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磋商文件条目号</w:t>
            </w:r>
          </w:p>
        </w:tc>
        <w:tc>
          <w:tcPr>
            <w:tcW w:w="1932"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技术条款要求</w:t>
            </w:r>
          </w:p>
        </w:tc>
        <w:tc>
          <w:tcPr>
            <w:tcW w:w="1236"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236"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394" w:type="dxa"/>
          </w:tcPr>
          <w:p>
            <w:pPr>
              <w:spacing w:line="4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bCs/>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1"/>
                <w:szCs w:val="21"/>
                <w:highlight w:val="none"/>
              </w:rPr>
            </w:pPr>
          </w:p>
        </w:tc>
        <w:tc>
          <w:tcPr>
            <w:tcW w:w="1932" w:type="dxa"/>
          </w:tcPr>
          <w:p>
            <w:pPr>
              <w:spacing w:line="400" w:lineRule="exact"/>
              <w:rPr>
                <w:rFonts w:hint="eastAsia" w:ascii="仿宋" w:hAnsi="仿宋" w:eastAsia="仿宋" w:cs="仿宋"/>
                <w:bCs/>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1236" w:type="dxa"/>
          </w:tcPr>
          <w:p>
            <w:pPr>
              <w:spacing w:line="400" w:lineRule="exact"/>
              <w:rPr>
                <w:rFonts w:hint="eastAsia" w:ascii="仿宋" w:hAnsi="仿宋" w:eastAsia="仿宋" w:cs="仿宋"/>
                <w:i w:val="0"/>
                <w:iCs w:val="0"/>
                <w:color w:val="auto"/>
                <w:sz w:val="21"/>
                <w:szCs w:val="21"/>
                <w:highlight w:val="none"/>
              </w:rPr>
            </w:pPr>
          </w:p>
        </w:tc>
        <w:tc>
          <w:tcPr>
            <w:tcW w:w="2394" w:type="dxa"/>
          </w:tcPr>
          <w:p>
            <w:pPr>
              <w:spacing w:line="400" w:lineRule="exact"/>
              <w:rPr>
                <w:rFonts w:hint="eastAsia" w:ascii="仿宋" w:hAnsi="仿宋" w:eastAsia="仿宋" w:cs="仿宋"/>
                <w:i w:val="0"/>
                <w:iCs w:val="0"/>
                <w:color w:val="auto"/>
                <w:sz w:val="21"/>
                <w:szCs w:val="21"/>
                <w:highlight w:val="none"/>
              </w:rPr>
            </w:pPr>
          </w:p>
        </w:tc>
      </w:tr>
    </w:tbl>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spacing w:line="360" w:lineRule="auto"/>
        <w:rPr>
          <w:rFonts w:hint="eastAsia" w:ascii="仿宋" w:hAnsi="仿宋" w:eastAsia="仿宋" w:cs="仿宋"/>
          <w:i w:val="0"/>
          <w:iCs w:val="0"/>
          <w:color w:val="auto"/>
          <w:sz w:val="21"/>
          <w:szCs w:val="21"/>
          <w:highlight w:val="none"/>
        </w:rPr>
      </w:pPr>
    </w:p>
    <w:p>
      <w:pPr>
        <w:snapToGrid w:val="0"/>
        <w:spacing w:after="120" w:afterLines="50"/>
        <w:ind w:left="850" w:hanging="850" w:hangingChars="405"/>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注：1.</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i w:val="0"/>
          <w:iCs w:val="0"/>
          <w:color w:val="auto"/>
          <w:sz w:val="21"/>
          <w:szCs w:val="21"/>
          <w:highlight w:val="none"/>
        </w:rPr>
      </w:pPr>
    </w:p>
    <w:p>
      <w:pPr>
        <w:autoSpaceDE w:val="0"/>
        <w:autoSpaceDN w:val="0"/>
        <w:adjustRightInd w:val="0"/>
        <w:snapToGrid w:val="0"/>
        <w:spacing w:line="360" w:lineRule="auto"/>
        <w:jc w:val="center"/>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auto"/>
          <w:sz w:val="21"/>
          <w:szCs w:val="21"/>
          <w:highlight w:val="none"/>
        </w:rPr>
        <w:br w:type="page"/>
      </w:r>
    </w:p>
    <w:p>
      <w:pPr>
        <w:pStyle w:val="4"/>
        <w:bidi w:val="0"/>
        <w:jc w:val="center"/>
        <w:rPr>
          <w:rFonts w:hint="default" w:ascii="仿宋_GB2312" w:hAnsi="仿宋_GB2312" w:eastAsia="仿宋_GB2312" w:cs="仿宋_GB2312"/>
          <w:b/>
          <w:bCs/>
          <w:color w:val="auto"/>
          <w:highlight w:val="none"/>
        </w:rPr>
      </w:pPr>
      <w:bookmarkStart w:id="511" w:name="_Toc1743"/>
      <w:r>
        <w:rPr>
          <w:rFonts w:hint="default" w:ascii="仿宋_GB2312" w:hAnsi="仿宋_GB2312" w:eastAsia="仿宋_GB2312" w:cs="仿宋_GB2312"/>
          <w:b/>
          <w:bCs/>
          <w:color w:val="auto"/>
          <w:highlight w:val="none"/>
        </w:rPr>
        <w:t>第四部分  响应方案说明</w:t>
      </w:r>
      <w:bookmarkEnd w:id="511"/>
    </w:p>
    <w:p>
      <w:pPr>
        <w:pStyle w:val="24"/>
        <w:rPr>
          <w:rFonts w:hint="default" w:ascii="Times New Roman" w:hAnsi="Times New Roman" w:eastAsia="仿宋_GB2312" w:cs="Times New Roman"/>
          <w:i w:val="0"/>
          <w:iCs w:val="0"/>
          <w:color w:val="auto"/>
          <w:highlight w:val="none"/>
          <w:lang w:val="zh-CN"/>
        </w:rPr>
      </w:pPr>
    </w:p>
    <w:p>
      <w:pPr>
        <w:spacing w:line="560" w:lineRule="exact"/>
        <w:ind w:firstLine="420" w:firstLineChars="200"/>
        <w:rPr>
          <w:rFonts w:hint="eastAsia" w:ascii="Times New Roman" w:hAnsi="Times New Roman" w:eastAsia="仿宋_GB2312" w:cs="Times New Roman"/>
          <w:i w:val="0"/>
          <w:iCs w:val="0"/>
          <w:color w:val="auto"/>
          <w:kern w:val="0"/>
          <w:sz w:val="21"/>
          <w:szCs w:val="21"/>
          <w:highlight w:val="none"/>
        </w:rPr>
      </w:pPr>
      <w:r>
        <w:rPr>
          <w:rFonts w:hint="eastAsia" w:ascii="Times New Roman" w:hAnsi="Times New Roman" w:eastAsia="仿宋_GB2312" w:cs="Times New Roman"/>
          <w:i w:val="0"/>
          <w:iCs w:val="0"/>
          <w:color w:val="auto"/>
          <w:kern w:val="0"/>
          <w:sz w:val="21"/>
          <w:szCs w:val="21"/>
          <w:highlight w:val="none"/>
        </w:rPr>
        <w:t>供应商应按照竞争性磋商文件要求，根据“</w:t>
      </w:r>
      <w:r>
        <w:rPr>
          <w:rFonts w:hint="eastAsia" w:ascii="Times New Roman" w:hAnsi="Times New Roman" w:eastAsia="仿宋_GB2312" w:cs="Times New Roman"/>
          <w:i w:val="0"/>
          <w:iCs w:val="0"/>
          <w:color w:val="auto"/>
          <w:kern w:val="0"/>
          <w:sz w:val="21"/>
          <w:szCs w:val="21"/>
          <w:highlight w:val="none"/>
          <w:lang w:eastAsia="zh-CN"/>
        </w:rPr>
        <w:t>第五章</w:t>
      </w:r>
      <w:r>
        <w:rPr>
          <w:rFonts w:hint="eastAsia" w:ascii="Times New Roman" w:hAnsi="Times New Roman" w:eastAsia="仿宋_GB2312" w:cs="Times New Roman"/>
          <w:i w:val="0"/>
          <w:iCs w:val="0"/>
          <w:color w:val="auto"/>
          <w:kern w:val="0"/>
          <w:sz w:val="21"/>
          <w:szCs w:val="21"/>
          <w:highlight w:val="none"/>
        </w:rPr>
        <w:t xml:space="preserve"> 采购内容及要求”及评审内容、原则及标准等相应内容作出全面响应。编制和提交的内容应包括但不限于以下各项。对必须满足的内容，必须完全满足。对响应有差异的，则说明差异的内容。</w:t>
      </w:r>
    </w:p>
    <w:p>
      <w:pPr>
        <w:spacing w:line="560" w:lineRule="exact"/>
        <w:ind w:firstLine="420" w:firstLineChars="200"/>
        <w:jc w:val="center"/>
        <w:rPr>
          <w:rFonts w:hint="default" w:ascii="Times New Roman" w:hAnsi="Times New Roman" w:eastAsia="仿宋_GB2312" w:cs="Times New Roman"/>
          <w:i w:val="0"/>
          <w:iCs w:val="0"/>
          <w:color w:val="auto"/>
          <w:kern w:val="0"/>
          <w:sz w:val="21"/>
          <w:szCs w:val="21"/>
          <w:highlight w:val="none"/>
          <w:lang w:val="zh-CN"/>
        </w:rPr>
      </w:pPr>
      <w:r>
        <w:rPr>
          <w:rFonts w:hint="default" w:ascii="Times New Roman" w:hAnsi="Times New Roman" w:eastAsia="仿宋_GB2312" w:cs="Times New Roman"/>
          <w:i w:val="0"/>
          <w:iCs w:val="0"/>
          <w:color w:val="auto"/>
          <w:kern w:val="0"/>
          <w:sz w:val="21"/>
          <w:szCs w:val="21"/>
          <w:highlight w:val="none"/>
          <w:lang w:val="zh-CN"/>
        </w:rPr>
        <w:t>（格式自拟，内容需符合评审办法中要求的内容要求）</w:t>
      </w:r>
    </w:p>
    <w:p>
      <w:pPr>
        <w:pStyle w:val="24"/>
        <w:rPr>
          <w:rFonts w:hint="default" w:ascii="Times New Roman" w:hAnsi="Times New Roman" w:eastAsia="仿宋_GB2312" w:cs="Times New Roman"/>
          <w:i w:val="0"/>
          <w:iCs w:val="0"/>
          <w:color w:val="auto"/>
          <w:highlight w:val="none"/>
          <w:lang w:val="zh-CN"/>
        </w:rPr>
      </w:pPr>
      <w:r>
        <w:rPr>
          <w:rFonts w:hint="default" w:ascii="Times New Roman" w:hAnsi="Times New Roman" w:eastAsia="仿宋_GB2312" w:cs="Times New Roman"/>
          <w:i w:val="0"/>
          <w:iCs w:val="0"/>
          <w:color w:val="auto"/>
          <w:highlight w:val="none"/>
          <w:lang w:val="zh-CN"/>
        </w:rPr>
        <w:br w:type="page"/>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Pr>
        <w:spacing w:after="120"/>
        <w:rPr>
          <w:rFonts w:hint="default" w:ascii="Times New Roman" w:hAnsi="Times New Roman" w:eastAsia="仿宋_GB2312" w:cs="Times New Roman"/>
          <w:i w:val="0"/>
          <w:iCs w:val="0"/>
          <w:color w:val="auto"/>
          <w:highlight w:val="none"/>
        </w:rPr>
      </w:pPr>
    </w:p>
    <w:p>
      <w:pPr>
        <w:ind w:left="315" w:leftChars="150" w:firstLine="270" w:firstLineChars="150"/>
        <w:rPr>
          <w:rFonts w:hint="default" w:ascii="Times New Roman" w:hAnsi="Times New Roman" w:eastAsia="仿宋_GB2312" w:cs="Times New Roman"/>
          <w:i w:val="0"/>
          <w:iCs w:val="0"/>
          <w:color w:val="auto"/>
          <w:kern w:val="0"/>
          <w:sz w:val="18"/>
          <w:szCs w:val="18"/>
          <w:highlight w:val="none"/>
        </w:rPr>
      </w:pPr>
      <w:bookmarkStart w:id="512" w:name="_Toc7005133"/>
    </w:p>
    <w:bookmarkEnd w:id="512"/>
    <w:p>
      <w:pPr>
        <w:pStyle w:val="5"/>
        <w:bidi w:val="0"/>
        <w:jc w:val="center"/>
        <w:rPr>
          <w:rFonts w:hint="default" w:ascii="仿宋_GB2312" w:hAnsi="仿宋_GB2312" w:eastAsia="仿宋_GB2312" w:cs="仿宋_GB2312"/>
          <w:b/>
          <w:bCs/>
          <w:color w:val="auto"/>
          <w:sz w:val="28"/>
          <w:szCs w:val="36"/>
          <w:highlight w:val="none"/>
        </w:rPr>
      </w:pPr>
      <w:r>
        <w:rPr>
          <w:rFonts w:hint="default" w:ascii="仿宋_GB2312" w:hAnsi="仿宋_GB2312" w:eastAsia="仿宋_GB2312" w:cs="仿宋_GB2312"/>
          <w:b/>
          <w:bCs/>
          <w:color w:val="auto"/>
          <w:sz w:val="28"/>
          <w:szCs w:val="36"/>
          <w:highlight w:val="none"/>
        </w:rPr>
        <w:t>四、响应承诺书</w:t>
      </w:r>
    </w:p>
    <w:p>
      <w:pPr>
        <w:spacing w:line="360" w:lineRule="auto"/>
        <w:rPr>
          <w:rFonts w:hint="default" w:ascii="Times New Roman" w:hAnsi="Times New Roman" w:eastAsia="仿宋_GB2312" w:cs="Times New Roman"/>
          <w:i w:val="0"/>
          <w:iCs w:val="0"/>
          <w:color w:val="auto"/>
          <w:sz w:val="24"/>
          <w:highlight w:val="none"/>
        </w:rPr>
      </w:pPr>
    </w:p>
    <w:p>
      <w:pPr>
        <w:spacing w:line="360" w:lineRule="auto"/>
        <w:rPr>
          <w:rFonts w:hint="eastAsia" w:ascii="仿宋" w:hAnsi="仿宋" w:eastAsia="仿宋" w:cs="仿宋"/>
          <w:i w:val="0"/>
          <w:iCs w:val="0"/>
          <w:color w:val="auto"/>
          <w:sz w:val="21"/>
          <w:szCs w:val="21"/>
          <w:highlight w:val="none"/>
          <w:u w:val="single"/>
          <w:lang w:eastAsia="zh-CN"/>
        </w:rPr>
      </w:pPr>
      <w:r>
        <w:rPr>
          <w:rFonts w:hint="eastAsia" w:ascii="仿宋" w:hAnsi="仿宋" w:eastAsia="仿宋" w:cs="仿宋"/>
          <w:i w:val="0"/>
          <w:iCs w:val="0"/>
          <w:color w:val="auto"/>
          <w:sz w:val="21"/>
          <w:szCs w:val="21"/>
          <w:highlight w:val="none"/>
          <w:u w:val="single"/>
          <w:lang w:val="en-US" w:eastAsia="zh-CN"/>
        </w:rPr>
        <w:t>陕西中医药大学第二附属医院</w:t>
      </w:r>
      <w:r>
        <w:rPr>
          <w:rFonts w:hint="eastAsia" w:ascii="仿宋" w:hAnsi="仿宋" w:eastAsia="仿宋" w:cs="仿宋"/>
          <w:i w:val="0"/>
          <w:iCs w:val="0"/>
          <w:color w:val="auto"/>
          <w:sz w:val="21"/>
          <w:szCs w:val="21"/>
          <w:highlight w:val="none"/>
          <w:u w:val="single"/>
          <w:lang w:eastAsia="zh-CN"/>
        </w:rPr>
        <w:t>：</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我方在此声明，我方以下事项进行承诺：</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 在本次磋商中我公司无与其他供应商相互串通，或与采购人串通的行为；</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 在本次磋商中我公司无向采购人或磋商小组成员行贿的手段谋取成交的行为；</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 在本次磋商中我公司无出借或借用资质行为、在响应文件中所附资料（业绩、项目负责人资料等）无弄虚作假；</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 我公司没有处于被责令停产、停业、投标资格被取消状态；</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（5）我公司不采用非法手段获取证据进行质疑、投诉，在质疑、投诉过程中不提供虚假情况或进行恶意质疑、投诉。</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上述承诺内容如有不实，我公司愿意承担由此造成的一切法律责任，并承诺以磋商保证金赔偿给采购人造成的损失。</w:t>
      </w:r>
    </w:p>
    <w:p>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特此承诺。</w:t>
      </w:r>
    </w:p>
    <w:p>
      <w:pPr>
        <w:spacing w:line="360" w:lineRule="auto"/>
        <w:ind w:firstLine="420" w:firstLineChars="200"/>
        <w:rPr>
          <w:rFonts w:hint="eastAsia" w:ascii="仿宋" w:hAnsi="仿宋" w:eastAsia="仿宋" w:cs="仿宋"/>
          <w:i w:val="0"/>
          <w:iCs w:val="0"/>
          <w:color w:val="auto"/>
          <w:sz w:val="21"/>
          <w:szCs w:val="21"/>
          <w:highlight w:val="none"/>
        </w:rPr>
      </w:pP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供应商名称（公章）： </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法定代表人或其授权代表（签字或加盖人名章）：</w:t>
      </w:r>
      <w:r>
        <w:rPr>
          <w:rFonts w:hint="eastAsia" w:ascii="仿宋" w:hAnsi="仿宋" w:eastAsia="仿宋" w:cs="仿宋"/>
          <w:i w:val="0"/>
          <w:iCs w:val="0"/>
          <w:color w:val="auto"/>
          <w:sz w:val="21"/>
          <w:szCs w:val="21"/>
          <w:highlight w:val="none"/>
          <w:u w:val="single"/>
        </w:rPr>
        <w:t xml:space="preserve">                  </w:t>
      </w:r>
    </w:p>
    <w:p>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pPr>
        <w:pStyle w:val="24"/>
        <w:rPr>
          <w:rFonts w:hint="eastAsia" w:ascii="仿宋" w:hAnsi="仿宋" w:eastAsia="仿宋" w:cs="仿宋"/>
          <w:b/>
          <w:bCs/>
          <w:i w:val="0"/>
          <w:iCs w:val="0"/>
          <w:color w:val="auto"/>
          <w:sz w:val="21"/>
          <w:szCs w:val="21"/>
          <w:highlight w:val="none"/>
          <w:lang w:val="zh-CN"/>
        </w:rPr>
      </w:pPr>
      <w:r>
        <w:rPr>
          <w:rFonts w:hint="eastAsia" w:ascii="仿宋" w:hAnsi="仿宋" w:eastAsia="仿宋" w:cs="仿宋"/>
          <w:i w:val="0"/>
          <w:iCs w:val="0"/>
          <w:color w:val="auto"/>
          <w:sz w:val="21"/>
          <w:szCs w:val="21"/>
          <w:highlight w:val="none"/>
        </w:rPr>
        <w:br w:type="page"/>
      </w:r>
    </w:p>
    <w:p>
      <w:pPr>
        <w:autoSpaceDE w:val="0"/>
        <w:autoSpaceDN w:val="0"/>
        <w:adjustRightInd w:val="0"/>
        <w:snapToGrid w:val="0"/>
        <w:spacing w:line="288" w:lineRule="auto"/>
        <w:jc w:val="left"/>
        <w:rPr>
          <w:rFonts w:hint="eastAsia" w:ascii="仿宋" w:hAnsi="仿宋" w:eastAsia="仿宋" w:cs="仿宋"/>
          <w:bCs/>
          <w:i w:val="0"/>
          <w:iCs w:val="0"/>
          <w:color w:val="auto"/>
          <w:sz w:val="21"/>
          <w:szCs w:val="21"/>
          <w:highlight w:val="none"/>
        </w:rPr>
        <w:sectPr>
          <w:pgSz w:w="11906" w:h="16838"/>
          <w:pgMar w:top="1418" w:right="1418" w:bottom="1418" w:left="1418" w:header="851" w:footer="992" w:gutter="0"/>
          <w:cols w:space="720" w:num="1"/>
          <w:docGrid w:linePitch="312" w:charSpace="0"/>
        </w:sectPr>
      </w:pPr>
    </w:p>
    <w:p>
      <w:pPr>
        <w:pStyle w:val="5"/>
        <w:bidi w:val="0"/>
        <w:rPr>
          <w:rFonts w:hint="eastAsia" w:ascii="仿宋" w:hAnsi="仿宋" w:eastAsia="仿宋" w:cs="仿宋"/>
          <w:b/>
          <w:bCs/>
          <w:color w:val="auto"/>
          <w:sz w:val="21"/>
          <w:szCs w:val="21"/>
          <w:highlight w:val="none"/>
          <w:lang w:val="zh-CN" w:eastAsia="zh-CN"/>
        </w:rPr>
      </w:pPr>
      <w:r>
        <w:rPr>
          <w:rFonts w:hint="default" w:ascii="仿宋_GB2312" w:hAnsi="仿宋_GB2312" w:eastAsia="仿宋_GB2312" w:cs="仿宋_GB2312"/>
          <w:b/>
          <w:bCs/>
          <w:color w:val="auto"/>
          <w:sz w:val="28"/>
          <w:szCs w:val="36"/>
          <w:highlight w:val="none"/>
          <w:lang w:val="zh-CN"/>
        </w:rPr>
        <w:t>附件</w:t>
      </w:r>
      <w:r>
        <w:rPr>
          <w:rFonts w:hint="eastAsia" w:ascii="仿宋_GB2312" w:hAnsi="仿宋_GB2312" w:eastAsia="仿宋_GB2312" w:cs="仿宋_GB2312"/>
          <w:b/>
          <w:bCs/>
          <w:color w:val="auto"/>
          <w:sz w:val="28"/>
          <w:szCs w:val="36"/>
          <w:highlight w:val="none"/>
          <w:lang w:val="en-US" w:eastAsia="zh-CN"/>
        </w:rPr>
        <w:t>1</w:t>
      </w:r>
    </w:p>
    <w:p>
      <w:pPr>
        <w:pStyle w:val="5"/>
        <w:bidi w:val="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 （最后）磋商响应报价表</w:t>
      </w:r>
    </w:p>
    <w:p>
      <w:pPr>
        <w:spacing w:after="12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（随身携带，单独提供，无需装订在响应文件中）</w:t>
      </w:r>
    </w:p>
    <w:p>
      <w:pPr>
        <w:pStyle w:val="24"/>
        <w:rPr>
          <w:rFonts w:hint="eastAsia" w:ascii="仿宋" w:hAnsi="仿宋" w:eastAsia="仿宋" w:cs="仿宋"/>
          <w:i w:val="0"/>
          <w:iCs w:val="0"/>
          <w:color w:val="auto"/>
          <w:sz w:val="21"/>
          <w:szCs w:val="21"/>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项目编号及项目名称</w:t>
            </w:r>
          </w:p>
        </w:tc>
        <w:tc>
          <w:tcPr>
            <w:tcW w:w="6981" w:type="dxa"/>
            <w:vAlign w:val="center"/>
          </w:tcPr>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r>
              <w:rPr>
                <w:rFonts w:hint="eastAsia" w:ascii="仿宋" w:hAnsi="仿宋" w:eastAsia="仿宋" w:cs="仿宋"/>
                <w:i w:val="0"/>
                <w:iCs w:val="0"/>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981" w:type="dxa"/>
            <w:vAlign w:val="center"/>
          </w:tcPr>
          <w:p>
            <w:pPr>
              <w:spacing w:after="12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981" w:type="dxa"/>
            <w:vAlign w:val="center"/>
          </w:tcPr>
          <w:p>
            <w:pPr>
              <w:spacing w:after="12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981" w:type="dxa"/>
            <w:vAlign w:val="center"/>
          </w:tcPr>
          <w:p>
            <w:pPr>
              <w:spacing w:after="120"/>
              <w:rPr>
                <w:rFonts w:hint="eastAsia" w:ascii="仿宋" w:hAnsi="仿宋" w:eastAsia="仿宋" w:cs="仿宋"/>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981" w:type="dxa"/>
            <w:vAlign w:val="center"/>
          </w:tcPr>
          <w:p>
            <w:pPr>
              <w:spacing w:after="120"/>
              <w:rPr>
                <w:rFonts w:hint="eastAsia" w:ascii="仿宋" w:hAnsi="仿宋" w:eastAsia="仿宋" w:cs="仿宋"/>
                <w:i w:val="0"/>
                <w:iCs w:val="0"/>
                <w:color w:val="auto"/>
                <w:sz w:val="21"/>
                <w:szCs w:val="21"/>
                <w:highlight w:val="none"/>
              </w:rPr>
            </w:pPr>
          </w:p>
        </w:tc>
      </w:tr>
    </w:tbl>
    <w:p>
      <w:pPr>
        <w:pStyle w:val="24"/>
        <w:rPr>
          <w:rFonts w:hint="eastAsia" w:ascii="仿宋" w:hAnsi="仿宋" w:eastAsia="仿宋" w:cs="仿宋"/>
          <w:i w:val="0"/>
          <w:iCs w:val="0"/>
          <w:color w:val="auto"/>
          <w:sz w:val="21"/>
          <w:szCs w:val="21"/>
          <w:highlight w:val="none"/>
          <w:lang w:val="zh-CN"/>
        </w:rPr>
      </w:pPr>
    </w:p>
    <w:p>
      <w:pPr>
        <w:autoSpaceDE w:val="0"/>
        <w:autoSpaceDN w:val="0"/>
        <w:adjustRightInd w:val="0"/>
        <w:snapToGrid w:val="0"/>
        <w:spacing w:line="360" w:lineRule="auto"/>
        <w:rPr>
          <w:rFonts w:hint="eastAsia" w:ascii="仿宋" w:hAnsi="仿宋" w:eastAsia="仿宋" w:cs="仿宋"/>
          <w:b/>
          <w:bCs/>
          <w:i w:val="0"/>
          <w:iCs w:val="0"/>
          <w:color w:val="auto"/>
          <w:sz w:val="21"/>
          <w:szCs w:val="21"/>
          <w:highlight w:val="none"/>
        </w:rPr>
      </w:pPr>
    </w:p>
    <w:p>
      <w:pPr>
        <w:autoSpaceDE w:val="0"/>
        <w:autoSpaceDN w:val="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                                                                                     </w:t>
      </w:r>
    </w:p>
    <w:p>
      <w:pPr>
        <w:autoSpaceDE w:val="0"/>
        <w:autoSpaceDN w:val="0"/>
        <w:adjustRightInd w:val="0"/>
        <w:snapToGrid w:val="0"/>
        <w:spacing w:line="360" w:lineRule="auto"/>
        <w:ind w:firstLine="945" w:firstLineChars="45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法定代表人</w:t>
      </w:r>
      <w:r>
        <w:rPr>
          <w:rFonts w:hint="eastAsia" w:ascii="仿宋" w:hAnsi="仿宋" w:eastAsia="仿宋" w:cs="仿宋"/>
          <w:i w:val="0"/>
          <w:iCs w:val="0"/>
          <w:color w:val="auto"/>
          <w:sz w:val="21"/>
          <w:szCs w:val="21"/>
          <w:highlight w:val="none"/>
        </w:rPr>
        <w:t>或</w:t>
      </w:r>
      <w:r>
        <w:rPr>
          <w:rFonts w:hint="eastAsia" w:ascii="仿宋" w:hAnsi="仿宋" w:eastAsia="仿宋" w:cs="仿宋"/>
          <w:i w:val="0"/>
          <w:iCs w:val="0"/>
          <w:color w:val="auto"/>
          <w:sz w:val="21"/>
          <w:szCs w:val="21"/>
          <w:highlight w:val="none"/>
          <w:lang w:val="zh-CN"/>
        </w:rPr>
        <w:t>授权代表</w:t>
      </w:r>
    </w:p>
    <w:p>
      <w:pPr>
        <w:autoSpaceDE w:val="0"/>
        <w:autoSpaceDN w:val="0"/>
        <w:adjustRightInd w:val="0"/>
        <w:snapToGrid w:val="0"/>
        <w:spacing w:line="360" w:lineRule="auto"/>
        <w:ind w:firstLine="840" w:firstLineChars="40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（公章）：                            （</w:t>
      </w:r>
      <w:r>
        <w:rPr>
          <w:rFonts w:hint="eastAsia" w:ascii="仿宋" w:hAnsi="仿宋" w:eastAsia="仿宋" w:cs="仿宋"/>
          <w:b/>
          <w:i w:val="0"/>
          <w:iCs w:val="0"/>
          <w:color w:val="auto"/>
          <w:sz w:val="21"/>
          <w:szCs w:val="21"/>
          <w:highlight w:val="none"/>
          <w:lang w:val="zh-CN"/>
        </w:rPr>
        <w:t>签字</w:t>
      </w:r>
      <w:r>
        <w:rPr>
          <w:rFonts w:hint="eastAsia" w:ascii="仿宋" w:hAnsi="仿宋" w:eastAsia="仿宋" w:cs="仿宋"/>
          <w:i w:val="0"/>
          <w:iCs w:val="0"/>
          <w:color w:val="auto"/>
          <w:sz w:val="21"/>
          <w:szCs w:val="21"/>
          <w:highlight w:val="none"/>
          <w:lang w:val="zh-CN"/>
        </w:rPr>
        <w:t>）：</w:t>
      </w:r>
    </w:p>
    <w:p>
      <w:pPr>
        <w:autoSpaceDE w:val="0"/>
        <w:autoSpaceDN w:val="0"/>
        <w:adjustRightInd w:val="0"/>
        <w:snapToGrid w:val="0"/>
        <w:spacing w:line="360" w:lineRule="auto"/>
        <w:rPr>
          <w:rFonts w:hint="default" w:ascii="Times New Roman" w:hAnsi="Times New Roman" w:eastAsia="仿宋_GB2312" w:cs="Times New Roman"/>
          <w:i w:val="0"/>
          <w:iCs w:val="0"/>
          <w:color w:val="auto"/>
          <w:sz w:val="24"/>
          <w:highlight w:val="none"/>
          <w:lang w:val="zh-CN"/>
        </w:rPr>
      </w:pPr>
    </w:p>
    <w:p>
      <w:pPr>
        <w:autoSpaceDE w:val="0"/>
        <w:autoSpaceDN w:val="0"/>
        <w:adjustRightInd w:val="0"/>
        <w:snapToGrid w:val="0"/>
        <w:spacing w:line="360" w:lineRule="auto"/>
        <w:rPr>
          <w:rFonts w:hint="default" w:ascii="Times New Roman" w:hAnsi="Times New Roman" w:eastAsia="仿宋_GB2312" w:cs="Times New Roman"/>
          <w:i w:val="0"/>
          <w:iCs w:val="0"/>
          <w:color w:val="auto"/>
          <w:sz w:val="24"/>
          <w:highlight w:val="none"/>
          <w:lang w:val="zh-CN"/>
        </w:rPr>
      </w:pPr>
    </w:p>
    <w:p>
      <w:pPr>
        <w:autoSpaceDE w:val="0"/>
        <w:autoSpaceDN w:val="0"/>
        <w:adjustRightInd w:val="0"/>
        <w:snapToGrid w:val="0"/>
        <w:spacing w:line="360" w:lineRule="auto"/>
        <w:ind w:firstLine="240" w:firstLineChars="100"/>
        <w:rPr>
          <w:rFonts w:hint="default" w:ascii="Times New Roman" w:hAnsi="Times New Roman" w:eastAsia="仿宋_GB2312" w:cs="Times New Roman"/>
          <w:i w:val="0"/>
          <w:iCs w:val="0"/>
          <w:color w:val="auto"/>
          <w:sz w:val="24"/>
          <w:highlight w:val="none"/>
          <w:lang w:val="zh-CN"/>
        </w:rPr>
      </w:pPr>
      <w:r>
        <w:rPr>
          <w:rFonts w:hint="default" w:ascii="Times New Roman" w:hAnsi="Times New Roman" w:eastAsia="仿宋_GB2312" w:cs="Times New Roman"/>
          <w:i w:val="0"/>
          <w:iCs w:val="0"/>
          <w:color w:val="auto"/>
          <w:sz w:val="24"/>
          <w:highlight w:val="none"/>
          <w:lang w:val="zh-CN"/>
        </w:rPr>
        <w:t xml:space="preserve">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 xml:space="preserve">年 </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月</w:t>
      </w:r>
      <w:r>
        <w:rPr>
          <w:rFonts w:hint="default" w:ascii="Times New Roman" w:hAnsi="Times New Roman" w:eastAsia="仿宋_GB2312" w:cs="Times New Roman"/>
          <w:i w:val="0"/>
          <w:iCs w:val="0"/>
          <w:color w:val="auto"/>
          <w:sz w:val="24"/>
          <w:highlight w:val="none"/>
          <w:u w:val="single"/>
          <w:lang w:val="zh-CN"/>
        </w:rPr>
        <w:t xml:space="preserve">      </w:t>
      </w:r>
      <w:r>
        <w:rPr>
          <w:rFonts w:hint="default" w:ascii="Times New Roman" w:hAnsi="Times New Roman" w:eastAsia="仿宋_GB2312" w:cs="Times New Roman"/>
          <w:i w:val="0"/>
          <w:iCs w:val="0"/>
          <w:color w:val="auto"/>
          <w:sz w:val="24"/>
          <w:highlight w:val="none"/>
          <w:lang w:val="zh-CN"/>
        </w:rPr>
        <w:t>日</w:t>
      </w:r>
    </w:p>
    <w:p>
      <w:pPr>
        <w:spacing w:after="120"/>
        <w:rPr>
          <w:rFonts w:hint="default" w:ascii="Times New Roman" w:hAnsi="Times New Roman" w:eastAsia="仿宋_GB2312" w:cs="Times New Roman"/>
          <w:b/>
          <w:bCs/>
          <w:i w:val="0"/>
          <w:iCs w:val="0"/>
          <w:color w:val="auto"/>
          <w:sz w:val="30"/>
          <w:szCs w:val="30"/>
          <w:highlight w:val="none"/>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r>
        <w:rPr>
          <w:rFonts w:hint="default" w:ascii="Times New Roman" w:hAnsi="Times New Roman" w:eastAsia="仿宋_GB2312" w:cs="Times New Roman"/>
          <w:i w:val="0"/>
          <w:iCs w:val="0"/>
          <w:color w:val="auto"/>
          <w:highlight w:val="none"/>
          <w:lang w:val="zh-CN"/>
        </w:rPr>
        <w:br w:type="page"/>
      </w:r>
    </w:p>
    <w:p>
      <w:pPr>
        <w:pStyle w:val="5"/>
        <w:bidi w:val="0"/>
        <w:jc w:val="center"/>
        <w:rPr>
          <w:rFonts w:hint="default" w:ascii="仿宋_GB2312" w:hAnsi="仿宋_GB2312" w:eastAsia="仿宋_GB2312" w:cs="仿宋_GB2312"/>
          <w:b/>
          <w:bCs/>
          <w:color w:val="auto"/>
          <w:sz w:val="28"/>
          <w:szCs w:val="36"/>
          <w:highlight w:val="none"/>
        </w:rPr>
      </w:pPr>
      <w:r>
        <w:rPr>
          <w:rFonts w:hint="default" w:ascii="仿宋_GB2312" w:hAnsi="仿宋_GB2312" w:eastAsia="仿宋_GB2312" w:cs="仿宋_GB2312"/>
          <w:b/>
          <w:bCs/>
          <w:color w:val="auto"/>
          <w:sz w:val="28"/>
          <w:szCs w:val="36"/>
          <w:highlight w:val="none"/>
        </w:rPr>
        <w:t>（最后）分项报价表</w:t>
      </w:r>
    </w:p>
    <w:p>
      <w:pPr>
        <w:pStyle w:val="24"/>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 xml:space="preserve">                     </w:t>
      </w:r>
    </w:p>
    <w:p>
      <w:pPr>
        <w:pStyle w:val="24"/>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（随身携带，单独提供，无需装订在响应文件中）</w:t>
      </w:r>
    </w:p>
    <w:p>
      <w:pPr>
        <w:pStyle w:val="24"/>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lang w:val="en-US" w:eastAsia="zh-CN"/>
        </w:rPr>
        <w:t>SZRFYZB202312-153</w:t>
      </w:r>
      <w:r>
        <w:rPr>
          <w:rFonts w:hint="eastAsia" w:ascii="仿宋" w:hAnsi="仿宋" w:eastAsia="仿宋" w:cs="仿宋"/>
          <w:i w:val="0"/>
          <w:iCs w:val="0"/>
          <w:color w:val="auto"/>
          <w:sz w:val="21"/>
          <w:szCs w:val="21"/>
          <w:highlight w:val="none"/>
          <w:u w:val="single"/>
        </w:rPr>
        <w:t xml:space="preserve">              </w:t>
      </w:r>
    </w:p>
    <w:p>
      <w:pPr>
        <w:pStyle w:val="24"/>
        <w:rPr>
          <w:rFonts w:hint="eastAsia" w:ascii="仿宋" w:hAnsi="仿宋" w:eastAsia="仿宋" w:cs="仿宋"/>
          <w:lang w:val="en-US" w:eastAsia="zh-CN"/>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lang w:val="en-US" w:eastAsia="zh-CN"/>
        </w:rPr>
        <w:t>陕西中医药大学第二附属医院迁建医院项目西侧二期预留土地规划设计项目</w:t>
      </w:r>
    </w:p>
    <w:p>
      <w:pPr>
        <w:rPr>
          <w:rFonts w:hint="eastAsia"/>
        </w:rPr>
      </w:pPr>
    </w:p>
    <w:p>
      <w:pPr>
        <w:kinsoku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供应商根据项目情况自行编制)</w:t>
      </w: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p>
    <w:p>
      <w:pPr>
        <w:kinsoku w:val="0"/>
        <w:spacing w:line="5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注：本表中的“总价”与“响应报价表”中的</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总报价</w:t>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t>一致。</w:t>
      </w:r>
    </w:p>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1"/>
          <w:szCs w:val="21"/>
          <w:highlight w:val="none"/>
        </w:rPr>
      </w:pPr>
    </w:p>
    <w:p>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                         法定代表人或授权代表</w:t>
      </w:r>
    </w:p>
    <w:p>
      <w:pPr>
        <w:adjustRightInd w:val="0"/>
        <w:snapToGrid w:val="0"/>
        <w:spacing w:line="360" w:lineRule="auto"/>
        <w:ind w:left="-525" w:leftChars="-250" w:firstLine="630" w:firstLineChars="3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p>
    <w:p>
      <w:pPr>
        <w:adjustRightInd w:val="0"/>
        <w:snapToGrid w:val="0"/>
        <w:spacing w:line="360" w:lineRule="auto"/>
        <w:jc w:val="center"/>
        <w:rPr>
          <w:rFonts w:hint="eastAsia" w:ascii="仿宋" w:hAnsi="仿宋" w:eastAsia="仿宋" w:cs="仿宋"/>
          <w:b/>
          <w:i w:val="0"/>
          <w:iCs w:val="0"/>
          <w:color w:val="auto"/>
          <w:sz w:val="21"/>
          <w:szCs w:val="21"/>
          <w:highlight w:val="none"/>
        </w:rPr>
      </w:pPr>
    </w:p>
    <w:p>
      <w:pPr>
        <w:spacing w:line="288" w:lineRule="auto"/>
        <w:ind w:left="424" w:leftChars="202"/>
        <w:rPr>
          <w:rFonts w:hint="eastAsia" w:ascii="仿宋" w:hAnsi="仿宋" w:eastAsia="仿宋" w:cs="仿宋"/>
          <w:bCs/>
          <w:i w:val="0"/>
          <w:iCs w:val="0"/>
          <w:color w:val="auto"/>
          <w:sz w:val="21"/>
          <w:szCs w:val="21"/>
          <w:highlight w:val="none"/>
        </w:rPr>
      </w:pPr>
    </w:p>
    <w:p>
      <w:pPr>
        <w:pStyle w:val="24"/>
        <w:rPr>
          <w:rFonts w:hint="default" w:ascii="Times New Roman" w:hAnsi="Times New Roman" w:eastAsia="仿宋_GB2312" w:cs="Times New Roman"/>
          <w:i w:val="0"/>
          <w:iCs w:val="0"/>
          <w:color w:val="auto"/>
          <w:highlight w:val="none"/>
        </w:rPr>
      </w:pPr>
    </w:p>
    <w:p>
      <w:pPr>
        <w:spacing w:after="120"/>
        <w:rPr>
          <w:rFonts w:hint="default" w:ascii="Times New Roman" w:hAnsi="Times New Roman" w:eastAsia="仿宋_GB2312" w:cs="Times New Roman"/>
          <w:i w:val="0"/>
          <w:iCs w:val="0"/>
          <w:color w:val="auto"/>
          <w:highlight w:val="none"/>
        </w:rPr>
      </w:pPr>
    </w:p>
    <w:p>
      <w:pPr>
        <w:rPr>
          <w:rFonts w:hint="default" w:ascii="Times New Roman" w:hAnsi="Times New Roman" w:eastAsia="仿宋_GB2312" w:cs="Times New Roman"/>
          <w:i w:val="0"/>
          <w:iCs w:val="0"/>
          <w:color w:val="auto"/>
          <w:szCs w:val="21"/>
          <w:highlight w:val="none"/>
        </w:rPr>
      </w:pPr>
    </w:p>
    <w:sectPr>
      <w:footerReference r:id="rId13" w:type="first"/>
      <w:footerReference r:id="rId1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v:fill on="f" focussize="0,0"/>
              <v:stroke on="f"/>
              <v:imagedata o:title=""/>
              <o:lock v:ext="edit" aspectratio="f"/>
              <v:textbox inset="0mm,0mm,0mm,0mm" style="mso-fit-shape-to-text:t;">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2"/>
                          </w:pPr>
                          <w:r>
                            <w:rPr>
                              <w:rFonts w:hint="eastAsia"/>
                            </w:rPr>
                            <w:fldChar w:fldCharType="begin"/>
                          </w:r>
                          <w: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2"/>
                    </w:pPr>
                    <w:r>
                      <w:rPr>
                        <w:rFonts w:hint="eastAsia"/>
                      </w:rPr>
                      <w:fldChar w:fldCharType="begin"/>
                    </w:r>
                    <w: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59264;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8306"/>
      </w:tabs>
      <w:jc w:val="center"/>
      <w:rPr>
        <w:rFonts w:hint="eastAsia" w:ascii="仿宋" w:hAnsi="仿宋" w:eastAsia="仿宋" w:cs="仿宋"/>
      </w:rPr>
    </w:pPr>
    <w:r>
      <w:rPr>
        <w:rFonts w:hint="eastAsia" w:ascii="仿宋" w:hAnsi="仿宋" w:eastAsia="仿宋" w:cs="仿宋"/>
        <w:lang w:val="en-US" w:eastAsia="zh-CN"/>
      </w:rPr>
      <w:t>陕西中医药大学第二附属医院迁建医院项目西侧二期预留土地规划设计项目</w:t>
    </w:r>
    <w:r>
      <w:rPr>
        <w:rFonts w:hint="eastAsia" w:ascii="仿宋" w:hAnsi="仿宋" w:eastAsia="仿宋" w:cs="仿宋"/>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A619C84"/>
    <w:multiLevelType w:val="singleLevel"/>
    <w:tmpl w:val="CA619C84"/>
    <w:lvl w:ilvl="0" w:tentative="0">
      <w:start w:val="1"/>
      <w:numFmt w:val="chineseCounting"/>
      <w:suff w:val="nothing"/>
      <w:lvlText w:val="%1、"/>
      <w:lvlJc w:val="left"/>
      <w:pPr>
        <w:ind w:left="-410"/>
      </w:pPr>
      <w:rPr>
        <w:rFonts w:hint="eastAsia"/>
      </w:rPr>
    </w:lvl>
  </w:abstractNum>
  <w:abstractNum w:abstractNumId="1">
    <w:nsid w:val="DB365B8A"/>
    <w:multiLevelType w:val="singleLevel"/>
    <w:tmpl w:val="DB365B8A"/>
    <w:lvl w:ilvl="0" w:tentative="0">
      <w:start w:val="6"/>
      <w:numFmt w:val="chineseCounting"/>
      <w:suff w:val="space"/>
      <w:lvlText w:val="第%1章"/>
      <w:lvlJc w:val="left"/>
      <w:rPr>
        <w:rFonts w:hint="eastAsia"/>
      </w:rPr>
    </w:lvl>
  </w:abstractNum>
  <w:abstractNum w:abstractNumId="2">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3">
    <w:nsid w:val="F4220B8C"/>
    <w:multiLevelType w:val="singleLevel"/>
    <w:tmpl w:val="F4220B8C"/>
    <w:lvl w:ilvl="0" w:tentative="0">
      <w:start w:val="1"/>
      <w:numFmt w:val="decimal"/>
      <w:suff w:val="nothing"/>
      <w:lvlText w:val="（%1）"/>
      <w:lvlJc w:val="left"/>
    </w:lvl>
  </w:abstractNum>
  <w:abstractNum w:abstractNumId="4">
    <w:nsid w:val="FA2D3D5B"/>
    <w:multiLevelType w:val="singleLevel"/>
    <w:tmpl w:val="FA2D3D5B"/>
    <w:lvl w:ilvl="0" w:tentative="0">
      <w:start w:val="30"/>
      <w:numFmt w:val="decimal"/>
      <w:suff w:val="space"/>
      <w:lvlText w:val="%1."/>
      <w:lvlJc w:val="left"/>
    </w:lvl>
  </w:abstractNum>
  <w:abstractNum w:abstractNumId="5">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7"/>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1035497F"/>
    <w:multiLevelType w:val="singleLevel"/>
    <w:tmpl w:val="1035497F"/>
    <w:lvl w:ilvl="0" w:tentative="0">
      <w:start w:val="5"/>
      <w:numFmt w:val="decimal"/>
      <w:suff w:val="space"/>
      <w:lvlText w:val="%1."/>
      <w:lvlJc w:val="left"/>
    </w:lvl>
  </w:abstractNum>
  <w:abstractNum w:abstractNumId="10">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2">
    <w:nsid w:val="537AA372"/>
    <w:multiLevelType w:val="singleLevel"/>
    <w:tmpl w:val="537AA372"/>
    <w:lvl w:ilvl="0" w:tentative="0">
      <w:start w:val="21"/>
      <w:numFmt w:val="decimal"/>
      <w:suff w:val="space"/>
      <w:lvlText w:val="%1."/>
      <w:lvlJc w:val="left"/>
    </w:lvl>
  </w:abstractNum>
  <w:abstractNum w:abstractNumId="13">
    <w:nsid w:val="5AA8DCB0"/>
    <w:multiLevelType w:val="singleLevel"/>
    <w:tmpl w:val="5AA8DCB0"/>
    <w:lvl w:ilvl="0" w:tentative="0">
      <w:start w:val="1"/>
      <w:numFmt w:val="decimal"/>
      <w:suff w:val="nothing"/>
      <w:lvlText w:val="%1、"/>
      <w:lvlJc w:val="left"/>
    </w:lvl>
  </w:abstractNum>
  <w:abstractNum w:abstractNumId="14">
    <w:nsid w:val="5AAB3475"/>
    <w:multiLevelType w:val="singleLevel"/>
    <w:tmpl w:val="5AAB3475"/>
    <w:lvl w:ilvl="0" w:tentative="0">
      <w:start w:val="1"/>
      <w:numFmt w:val="decimal"/>
      <w:lvlText w:val="%1."/>
      <w:lvlJc w:val="left"/>
      <w:pPr>
        <w:ind w:left="425" w:hanging="425"/>
      </w:pPr>
      <w:rPr>
        <w:rFonts w:hint="default"/>
      </w:rPr>
    </w:lvl>
  </w:abstractNum>
  <w:abstractNum w:abstractNumId="15">
    <w:nsid w:val="5AAB3487"/>
    <w:multiLevelType w:val="singleLevel"/>
    <w:tmpl w:val="5AAB3487"/>
    <w:lvl w:ilvl="0" w:tentative="0">
      <w:start w:val="1"/>
      <w:numFmt w:val="decimal"/>
      <w:lvlText w:val="%1)"/>
      <w:lvlJc w:val="left"/>
      <w:pPr>
        <w:ind w:left="567" w:hanging="425"/>
      </w:pPr>
      <w:rPr>
        <w:rFonts w:hint="default"/>
      </w:rPr>
    </w:lvl>
  </w:abstractNum>
  <w:abstractNum w:abstractNumId="16">
    <w:nsid w:val="624D1350"/>
    <w:multiLevelType w:val="singleLevel"/>
    <w:tmpl w:val="624D1350"/>
    <w:lvl w:ilvl="0" w:tentative="0">
      <w:start w:val="25"/>
      <w:numFmt w:val="decimal"/>
      <w:suff w:val="space"/>
      <w:lvlText w:val="%1."/>
      <w:lvlJc w:val="left"/>
    </w:lvl>
  </w:abstractNum>
  <w:abstractNum w:abstractNumId="17">
    <w:nsid w:val="6CEA2025"/>
    <w:multiLevelType w:val="multilevel"/>
    <w:tmpl w:val="6CEA2025"/>
    <w:lvl w:ilvl="0" w:tentative="0">
      <w:start w:val="1"/>
      <w:numFmt w:val="none"/>
      <w:pStyle w:val="244"/>
      <w:suff w:val="nothing"/>
      <w:lvlText w:val="%1"/>
      <w:lvlJc w:val="left"/>
      <w:pPr>
        <w:ind w:left="0" w:firstLine="0"/>
      </w:pPr>
      <w:rPr>
        <w:rFonts w:hint="default" w:ascii="Times New Roman" w:hAnsi="Times New Roman"/>
        <w:b/>
        <w:i w:val="0"/>
        <w:sz w:val="21"/>
      </w:rPr>
    </w:lvl>
    <w:lvl w:ilvl="1" w:tentative="0">
      <w:start w:val="1"/>
      <w:numFmt w:val="decimal"/>
      <w:pStyle w:val="245"/>
      <w:suff w:val="nothing"/>
      <w:lvlText w:val="%1%2　"/>
      <w:lvlJc w:val="left"/>
      <w:pPr>
        <w:ind w:left="315" w:firstLine="0"/>
      </w:pPr>
      <w:rPr>
        <w:rFonts w:hint="eastAsia" w:ascii="黑体" w:hAnsi="Times New Roman" w:eastAsia="黑体"/>
        <w:b w:val="0"/>
        <w:i w:val="0"/>
        <w:sz w:val="21"/>
      </w:rPr>
    </w:lvl>
    <w:lvl w:ilvl="2" w:tentative="0">
      <w:start w:val="1"/>
      <w:numFmt w:val="decimal"/>
      <w:pStyle w:val="246"/>
      <w:suff w:val="nothing"/>
      <w:lvlText w:val="%1%2.%3　"/>
      <w:lvlJc w:val="left"/>
      <w:pPr>
        <w:ind w:left="630" w:firstLine="0"/>
      </w:pPr>
      <w:rPr>
        <w:rFonts w:hint="eastAsia" w:ascii="黑体" w:hAnsi="Times New Roman" w:eastAsia="黑体"/>
        <w:b w:val="0"/>
        <w:i w:val="0"/>
        <w:sz w:val="21"/>
      </w:rPr>
    </w:lvl>
    <w:lvl w:ilvl="3" w:tentative="0">
      <w:start w:val="1"/>
      <w:numFmt w:val="decimal"/>
      <w:pStyle w:val="247"/>
      <w:suff w:val="nothing"/>
      <w:lvlText w:val="%1%2.%3.%4　"/>
      <w:lvlJc w:val="left"/>
      <w:pPr>
        <w:ind w:left="567" w:firstLine="0"/>
      </w:pPr>
      <w:rPr>
        <w:rFonts w:hint="eastAsia" w:ascii="黑体" w:hAnsi="Times New Roman" w:eastAsia="黑体"/>
        <w:b w:val="0"/>
        <w:i w:val="0"/>
        <w:sz w:val="21"/>
      </w:rPr>
    </w:lvl>
    <w:lvl w:ilvl="4" w:tentative="0">
      <w:start w:val="1"/>
      <w:numFmt w:val="decimal"/>
      <w:pStyle w:val="249"/>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0"/>
      <w:suff w:val="nothing"/>
      <w:lvlText w:val="%1%2.%3.%4.%5.%6　"/>
      <w:lvlJc w:val="left"/>
      <w:pPr>
        <w:ind w:left="0" w:firstLine="0"/>
      </w:pPr>
      <w:rPr>
        <w:rFonts w:hint="eastAsia" w:ascii="黑体" w:hAnsi="Times New Roman" w:eastAsia="黑体"/>
        <w:b w:val="0"/>
        <w:i w:val="0"/>
        <w:sz w:val="21"/>
      </w:rPr>
    </w:lvl>
    <w:lvl w:ilvl="6" w:tentative="0">
      <w:start w:val="1"/>
      <w:numFmt w:val="decimal"/>
      <w:pStyle w:val="2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6933334"/>
    <w:multiLevelType w:val="multilevel"/>
    <w:tmpl w:val="76933334"/>
    <w:lvl w:ilvl="0" w:tentative="0">
      <w:start w:val="1"/>
      <w:numFmt w:val="none"/>
      <w:pStyle w:val="2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7"/>
  </w:num>
  <w:num w:numId="4">
    <w:abstractNumId w:val="18"/>
  </w:num>
  <w:num w:numId="5">
    <w:abstractNumId w:val="9"/>
  </w:num>
  <w:num w:numId="6">
    <w:abstractNumId w:val="11"/>
  </w:num>
  <w:num w:numId="7">
    <w:abstractNumId w:val="2"/>
  </w:num>
  <w:num w:numId="8">
    <w:abstractNumId w:val="12"/>
  </w:num>
  <w:num w:numId="9">
    <w:abstractNumId w:val="16"/>
  </w:num>
  <w:num w:numId="10">
    <w:abstractNumId w:val="8"/>
  </w:num>
  <w:num w:numId="11">
    <w:abstractNumId w:val="4"/>
  </w:num>
  <w:num w:numId="12">
    <w:abstractNumId w:val="14"/>
  </w:num>
  <w:num w:numId="13">
    <w:abstractNumId w:val="15"/>
  </w:num>
  <w:num w:numId="14">
    <w:abstractNumId w:val="3"/>
  </w:num>
  <w:num w:numId="15">
    <w:abstractNumId w:val="0"/>
  </w:num>
  <w:num w:numId="16">
    <w:abstractNumId w:val="1"/>
  </w:num>
  <w:num w:numId="17">
    <w:abstractNumId w:val="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jY4OWI1ZmFlYTJiOGY4N2ExODk4NTI3ODAxYm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2918"/>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F14"/>
    <w:rsid w:val="007E71F5"/>
    <w:rsid w:val="007E73B0"/>
    <w:rsid w:val="007F4D32"/>
    <w:rsid w:val="00801DEF"/>
    <w:rsid w:val="0080217E"/>
    <w:rsid w:val="008031F1"/>
    <w:rsid w:val="00804A4E"/>
    <w:rsid w:val="00807872"/>
    <w:rsid w:val="00817CCC"/>
    <w:rsid w:val="00826B74"/>
    <w:rsid w:val="00831006"/>
    <w:rsid w:val="008357E9"/>
    <w:rsid w:val="00844285"/>
    <w:rsid w:val="00845769"/>
    <w:rsid w:val="0084595F"/>
    <w:rsid w:val="00855B04"/>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A56820"/>
    <w:rsid w:val="01B73196"/>
    <w:rsid w:val="01DB0F21"/>
    <w:rsid w:val="01F85948"/>
    <w:rsid w:val="027D1EDC"/>
    <w:rsid w:val="02AA6F17"/>
    <w:rsid w:val="02B0310F"/>
    <w:rsid w:val="02E6429D"/>
    <w:rsid w:val="032E5AB3"/>
    <w:rsid w:val="0380752A"/>
    <w:rsid w:val="03C4317A"/>
    <w:rsid w:val="041E1097"/>
    <w:rsid w:val="04874841"/>
    <w:rsid w:val="04AF0DC0"/>
    <w:rsid w:val="04E35F2C"/>
    <w:rsid w:val="04EB4ECE"/>
    <w:rsid w:val="053371D4"/>
    <w:rsid w:val="053B700A"/>
    <w:rsid w:val="05A9381E"/>
    <w:rsid w:val="05CA3B1B"/>
    <w:rsid w:val="05D40F8A"/>
    <w:rsid w:val="05D56841"/>
    <w:rsid w:val="05E97CB2"/>
    <w:rsid w:val="060D6A3B"/>
    <w:rsid w:val="06193B1E"/>
    <w:rsid w:val="06383C8B"/>
    <w:rsid w:val="063D4CBA"/>
    <w:rsid w:val="06AB6FF1"/>
    <w:rsid w:val="06C6067E"/>
    <w:rsid w:val="06DF18E2"/>
    <w:rsid w:val="0707497A"/>
    <w:rsid w:val="07181283"/>
    <w:rsid w:val="07394A3D"/>
    <w:rsid w:val="07416329"/>
    <w:rsid w:val="07501B9E"/>
    <w:rsid w:val="082B0E32"/>
    <w:rsid w:val="0838785B"/>
    <w:rsid w:val="08727C1D"/>
    <w:rsid w:val="087D0B78"/>
    <w:rsid w:val="08894DF6"/>
    <w:rsid w:val="0920129B"/>
    <w:rsid w:val="095B68BC"/>
    <w:rsid w:val="09823E4D"/>
    <w:rsid w:val="098852A8"/>
    <w:rsid w:val="09A06B78"/>
    <w:rsid w:val="09EA3E64"/>
    <w:rsid w:val="0A123F9D"/>
    <w:rsid w:val="0A4B18CE"/>
    <w:rsid w:val="0A601059"/>
    <w:rsid w:val="0A8A4B12"/>
    <w:rsid w:val="0AB2170F"/>
    <w:rsid w:val="0AB25DFE"/>
    <w:rsid w:val="0AC800D5"/>
    <w:rsid w:val="0AFA19A7"/>
    <w:rsid w:val="0B181252"/>
    <w:rsid w:val="0B2543AA"/>
    <w:rsid w:val="0B4C3A01"/>
    <w:rsid w:val="0B651CEF"/>
    <w:rsid w:val="0C275A89"/>
    <w:rsid w:val="0C721783"/>
    <w:rsid w:val="0CBB5882"/>
    <w:rsid w:val="0CEB1914"/>
    <w:rsid w:val="0D531CDF"/>
    <w:rsid w:val="0DCA3125"/>
    <w:rsid w:val="0E211365"/>
    <w:rsid w:val="0E416A77"/>
    <w:rsid w:val="0E5C2657"/>
    <w:rsid w:val="0E5C7CE8"/>
    <w:rsid w:val="0EA34036"/>
    <w:rsid w:val="0EAE0E4B"/>
    <w:rsid w:val="0EAF41DE"/>
    <w:rsid w:val="0EB049DF"/>
    <w:rsid w:val="0EB63F9D"/>
    <w:rsid w:val="0EFA06A7"/>
    <w:rsid w:val="0F227C07"/>
    <w:rsid w:val="0F245037"/>
    <w:rsid w:val="0F54794B"/>
    <w:rsid w:val="0F6A354E"/>
    <w:rsid w:val="0F88478D"/>
    <w:rsid w:val="0FB72E13"/>
    <w:rsid w:val="0FB73DA5"/>
    <w:rsid w:val="0FCE37C4"/>
    <w:rsid w:val="0FDE2587"/>
    <w:rsid w:val="101B0BC4"/>
    <w:rsid w:val="103649EC"/>
    <w:rsid w:val="1040315F"/>
    <w:rsid w:val="10507757"/>
    <w:rsid w:val="107A1082"/>
    <w:rsid w:val="109E7189"/>
    <w:rsid w:val="10C72BB3"/>
    <w:rsid w:val="115206FB"/>
    <w:rsid w:val="11531DCE"/>
    <w:rsid w:val="11B40613"/>
    <w:rsid w:val="11BE2022"/>
    <w:rsid w:val="11D83EA2"/>
    <w:rsid w:val="11F76665"/>
    <w:rsid w:val="122510EE"/>
    <w:rsid w:val="123757B7"/>
    <w:rsid w:val="12405481"/>
    <w:rsid w:val="12837EE6"/>
    <w:rsid w:val="128D1331"/>
    <w:rsid w:val="12C1355D"/>
    <w:rsid w:val="12EA1EE6"/>
    <w:rsid w:val="12EF7289"/>
    <w:rsid w:val="13330CAC"/>
    <w:rsid w:val="133D7CD4"/>
    <w:rsid w:val="1347361C"/>
    <w:rsid w:val="134D5A81"/>
    <w:rsid w:val="13AC42B6"/>
    <w:rsid w:val="13BF6991"/>
    <w:rsid w:val="13F03DED"/>
    <w:rsid w:val="13F95DC4"/>
    <w:rsid w:val="142A3E2D"/>
    <w:rsid w:val="144A7973"/>
    <w:rsid w:val="14BF6008"/>
    <w:rsid w:val="14E5758A"/>
    <w:rsid w:val="14FB7DA2"/>
    <w:rsid w:val="15567E44"/>
    <w:rsid w:val="158710F3"/>
    <w:rsid w:val="15BC1451"/>
    <w:rsid w:val="15C772F3"/>
    <w:rsid w:val="15CE4C34"/>
    <w:rsid w:val="15F0775C"/>
    <w:rsid w:val="160A0AD0"/>
    <w:rsid w:val="16401732"/>
    <w:rsid w:val="165B6F79"/>
    <w:rsid w:val="166E5EB0"/>
    <w:rsid w:val="168129A1"/>
    <w:rsid w:val="16C01EAE"/>
    <w:rsid w:val="16F214B3"/>
    <w:rsid w:val="16F50974"/>
    <w:rsid w:val="176235DE"/>
    <w:rsid w:val="177A195D"/>
    <w:rsid w:val="17D67E1B"/>
    <w:rsid w:val="17E50036"/>
    <w:rsid w:val="17F65611"/>
    <w:rsid w:val="1820060E"/>
    <w:rsid w:val="18205BA9"/>
    <w:rsid w:val="18370FAA"/>
    <w:rsid w:val="188D7D42"/>
    <w:rsid w:val="1890464C"/>
    <w:rsid w:val="18C45643"/>
    <w:rsid w:val="19575882"/>
    <w:rsid w:val="195E155B"/>
    <w:rsid w:val="197321D5"/>
    <w:rsid w:val="1A00361B"/>
    <w:rsid w:val="1A0C41D1"/>
    <w:rsid w:val="1A336BE7"/>
    <w:rsid w:val="1A612D7C"/>
    <w:rsid w:val="1A725422"/>
    <w:rsid w:val="1A7F6A7E"/>
    <w:rsid w:val="1A807E72"/>
    <w:rsid w:val="1A8A2A47"/>
    <w:rsid w:val="1B16166A"/>
    <w:rsid w:val="1B1E1106"/>
    <w:rsid w:val="1BB93E83"/>
    <w:rsid w:val="1BC644B6"/>
    <w:rsid w:val="1BD6082A"/>
    <w:rsid w:val="1C2A3F0B"/>
    <w:rsid w:val="1C613AB1"/>
    <w:rsid w:val="1C763D6F"/>
    <w:rsid w:val="1C8C0466"/>
    <w:rsid w:val="1CC854C2"/>
    <w:rsid w:val="1D0121D0"/>
    <w:rsid w:val="1D5B524F"/>
    <w:rsid w:val="1D6D3522"/>
    <w:rsid w:val="1DAB5588"/>
    <w:rsid w:val="1DD72694"/>
    <w:rsid w:val="1DDE1DE9"/>
    <w:rsid w:val="1DFA7416"/>
    <w:rsid w:val="1EFD5795"/>
    <w:rsid w:val="1F474868"/>
    <w:rsid w:val="1F883C9F"/>
    <w:rsid w:val="1F971592"/>
    <w:rsid w:val="1FB94E27"/>
    <w:rsid w:val="1FD04999"/>
    <w:rsid w:val="1FE57CFE"/>
    <w:rsid w:val="1FF41576"/>
    <w:rsid w:val="200A3A73"/>
    <w:rsid w:val="208337BA"/>
    <w:rsid w:val="20AF20C5"/>
    <w:rsid w:val="20EB717A"/>
    <w:rsid w:val="20ED7306"/>
    <w:rsid w:val="20F96916"/>
    <w:rsid w:val="211106C5"/>
    <w:rsid w:val="21431785"/>
    <w:rsid w:val="219E251A"/>
    <w:rsid w:val="21C24F4B"/>
    <w:rsid w:val="21CE184E"/>
    <w:rsid w:val="22071464"/>
    <w:rsid w:val="221768AF"/>
    <w:rsid w:val="22283C9F"/>
    <w:rsid w:val="2232235C"/>
    <w:rsid w:val="22815722"/>
    <w:rsid w:val="23291785"/>
    <w:rsid w:val="233256B0"/>
    <w:rsid w:val="23710488"/>
    <w:rsid w:val="2381304A"/>
    <w:rsid w:val="23A7789F"/>
    <w:rsid w:val="23BB002C"/>
    <w:rsid w:val="23C33515"/>
    <w:rsid w:val="23CF1172"/>
    <w:rsid w:val="23F1680C"/>
    <w:rsid w:val="242E494F"/>
    <w:rsid w:val="243E15D5"/>
    <w:rsid w:val="24551238"/>
    <w:rsid w:val="248E2DBA"/>
    <w:rsid w:val="25224672"/>
    <w:rsid w:val="25250089"/>
    <w:rsid w:val="25252A8D"/>
    <w:rsid w:val="253F23A5"/>
    <w:rsid w:val="25A67057"/>
    <w:rsid w:val="25A93CC2"/>
    <w:rsid w:val="25C9400F"/>
    <w:rsid w:val="25D54115"/>
    <w:rsid w:val="25DC4098"/>
    <w:rsid w:val="25F72F27"/>
    <w:rsid w:val="260F4C55"/>
    <w:rsid w:val="26291B1A"/>
    <w:rsid w:val="26413EFB"/>
    <w:rsid w:val="26763E6F"/>
    <w:rsid w:val="267C3983"/>
    <w:rsid w:val="26D82BDE"/>
    <w:rsid w:val="26EB0757"/>
    <w:rsid w:val="270101AC"/>
    <w:rsid w:val="2719451E"/>
    <w:rsid w:val="274D71B2"/>
    <w:rsid w:val="2751147F"/>
    <w:rsid w:val="27706CF6"/>
    <w:rsid w:val="279C6957"/>
    <w:rsid w:val="27D32B77"/>
    <w:rsid w:val="27DE5929"/>
    <w:rsid w:val="27E14C4C"/>
    <w:rsid w:val="2815337E"/>
    <w:rsid w:val="282160D2"/>
    <w:rsid w:val="286C62A1"/>
    <w:rsid w:val="288139AC"/>
    <w:rsid w:val="28A069B8"/>
    <w:rsid w:val="28C21683"/>
    <w:rsid w:val="28F72971"/>
    <w:rsid w:val="290F3C6E"/>
    <w:rsid w:val="2A3073E0"/>
    <w:rsid w:val="2AC11AAE"/>
    <w:rsid w:val="2AE35535"/>
    <w:rsid w:val="2B496FA3"/>
    <w:rsid w:val="2B532BFE"/>
    <w:rsid w:val="2B6A469F"/>
    <w:rsid w:val="2BAC65A8"/>
    <w:rsid w:val="2BB024B4"/>
    <w:rsid w:val="2BC60F98"/>
    <w:rsid w:val="2BCB45F0"/>
    <w:rsid w:val="2C066A1A"/>
    <w:rsid w:val="2C0B4AE6"/>
    <w:rsid w:val="2C8165FA"/>
    <w:rsid w:val="2CAC7CBD"/>
    <w:rsid w:val="2CCC08A3"/>
    <w:rsid w:val="2D0A514C"/>
    <w:rsid w:val="2D2F30DD"/>
    <w:rsid w:val="2D3F44AA"/>
    <w:rsid w:val="2D960FD0"/>
    <w:rsid w:val="2DB235BF"/>
    <w:rsid w:val="2E577392"/>
    <w:rsid w:val="2E6E6547"/>
    <w:rsid w:val="2E8B1B62"/>
    <w:rsid w:val="2E970AE4"/>
    <w:rsid w:val="2EA93058"/>
    <w:rsid w:val="2EB227A5"/>
    <w:rsid w:val="2F660CA0"/>
    <w:rsid w:val="2F822BAC"/>
    <w:rsid w:val="2F96630B"/>
    <w:rsid w:val="2FAC7913"/>
    <w:rsid w:val="301F6139"/>
    <w:rsid w:val="30641E74"/>
    <w:rsid w:val="30810E1D"/>
    <w:rsid w:val="30D616E4"/>
    <w:rsid w:val="30F97581"/>
    <w:rsid w:val="314256C4"/>
    <w:rsid w:val="31947CF5"/>
    <w:rsid w:val="31A32F56"/>
    <w:rsid w:val="31C65637"/>
    <w:rsid w:val="32417274"/>
    <w:rsid w:val="324A57AF"/>
    <w:rsid w:val="329F04E5"/>
    <w:rsid w:val="32F9755F"/>
    <w:rsid w:val="331B2806"/>
    <w:rsid w:val="333214D1"/>
    <w:rsid w:val="3369683F"/>
    <w:rsid w:val="3370495E"/>
    <w:rsid w:val="33CC0FC6"/>
    <w:rsid w:val="33DD0EAC"/>
    <w:rsid w:val="340622E0"/>
    <w:rsid w:val="34143D51"/>
    <w:rsid w:val="34302898"/>
    <w:rsid w:val="345B460B"/>
    <w:rsid w:val="347B1D25"/>
    <w:rsid w:val="348E2B4F"/>
    <w:rsid w:val="34BB4966"/>
    <w:rsid w:val="3510009D"/>
    <w:rsid w:val="35101668"/>
    <w:rsid w:val="355C2AFF"/>
    <w:rsid w:val="35C97D56"/>
    <w:rsid w:val="35EE5D6B"/>
    <w:rsid w:val="3637765B"/>
    <w:rsid w:val="363A3F05"/>
    <w:rsid w:val="365311E6"/>
    <w:rsid w:val="367112A8"/>
    <w:rsid w:val="368F1C8E"/>
    <w:rsid w:val="37473FEE"/>
    <w:rsid w:val="375445E4"/>
    <w:rsid w:val="376964D6"/>
    <w:rsid w:val="378D71CC"/>
    <w:rsid w:val="379C0110"/>
    <w:rsid w:val="379C3619"/>
    <w:rsid w:val="382F44FB"/>
    <w:rsid w:val="384A2F51"/>
    <w:rsid w:val="387C3364"/>
    <w:rsid w:val="38CC73F3"/>
    <w:rsid w:val="38E2331B"/>
    <w:rsid w:val="390E4110"/>
    <w:rsid w:val="395B66C1"/>
    <w:rsid w:val="395E3B0F"/>
    <w:rsid w:val="39AE15AC"/>
    <w:rsid w:val="39D513FC"/>
    <w:rsid w:val="39E218FD"/>
    <w:rsid w:val="39E83FB4"/>
    <w:rsid w:val="3A153790"/>
    <w:rsid w:val="3A1F11A7"/>
    <w:rsid w:val="3A86575A"/>
    <w:rsid w:val="3ABC10F6"/>
    <w:rsid w:val="3AC94052"/>
    <w:rsid w:val="3B115AB0"/>
    <w:rsid w:val="3B341FC1"/>
    <w:rsid w:val="3B6F11E8"/>
    <w:rsid w:val="3B732683"/>
    <w:rsid w:val="3B851216"/>
    <w:rsid w:val="3B9F54F4"/>
    <w:rsid w:val="3D084D63"/>
    <w:rsid w:val="3D0B4A9A"/>
    <w:rsid w:val="3D420A8C"/>
    <w:rsid w:val="3D517AA3"/>
    <w:rsid w:val="3DA349DC"/>
    <w:rsid w:val="3E0F5C92"/>
    <w:rsid w:val="3E3457B0"/>
    <w:rsid w:val="3E432D97"/>
    <w:rsid w:val="3E6A003B"/>
    <w:rsid w:val="3E9753EA"/>
    <w:rsid w:val="3E9948D1"/>
    <w:rsid w:val="3EE41CB3"/>
    <w:rsid w:val="3EE543E8"/>
    <w:rsid w:val="3F3B553C"/>
    <w:rsid w:val="3F43088C"/>
    <w:rsid w:val="3F5E71A0"/>
    <w:rsid w:val="3F7F3F6B"/>
    <w:rsid w:val="3F9F6A76"/>
    <w:rsid w:val="3FAA346A"/>
    <w:rsid w:val="3FAB317E"/>
    <w:rsid w:val="3FE327A2"/>
    <w:rsid w:val="40602185"/>
    <w:rsid w:val="406D3C7A"/>
    <w:rsid w:val="408D0A8F"/>
    <w:rsid w:val="40DD4529"/>
    <w:rsid w:val="414920DE"/>
    <w:rsid w:val="41550B18"/>
    <w:rsid w:val="418E1CD2"/>
    <w:rsid w:val="41E371A6"/>
    <w:rsid w:val="4206324A"/>
    <w:rsid w:val="42B01A80"/>
    <w:rsid w:val="42B540C6"/>
    <w:rsid w:val="43124DBF"/>
    <w:rsid w:val="43267EE9"/>
    <w:rsid w:val="43411BCB"/>
    <w:rsid w:val="435C4BA0"/>
    <w:rsid w:val="4373005F"/>
    <w:rsid w:val="442326F2"/>
    <w:rsid w:val="442418FE"/>
    <w:rsid w:val="443133A9"/>
    <w:rsid w:val="44781DAA"/>
    <w:rsid w:val="44C9249B"/>
    <w:rsid w:val="44CA357E"/>
    <w:rsid w:val="4587776E"/>
    <w:rsid w:val="45CF460B"/>
    <w:rsid w:val="45E27E1E"/>
    <w:rsid w:val="46142700"/>
    <w:rsid w:val="46B642A3"/>
    <w:rsid w:val="470316C4"/>
    <w:rsid w:val="470E368E"/>
    <w:rsid w:val="472F1E22"/>
    <w:rsid w:val="477631E0"/>
    <w:rsid w:val="47801F1B"/>
    <w:rsid w:val="47AC7367"/>
    <w:rsid w:val="47AD6319"/>
    <w:rsid w:val="47BA5BC1"/>
    <w:rsid w:val="47C7285C"/>
    <w:rsid w:val="480C69CA"/>
    <w:rsid w:val="487519F9"/>
    <w:rsid w:val="48F50E49"/>
    <w:rsid w:val="49347AA6"/>
    <w:rsid w:val="496D392E"/>
    <w:rsid w:val="497F756E"/>
    <w:rsid w:val="498E7313"/>
    <w:rsid w:val="499B629D"/>
    <w:rsid w:val="4A0A5885"/>
    <w:rsid w:val="4A2C089A"/>
    <w:rsid w:val="4A514B5B"/>
    <w:rsid w:val="4AD37FB5"/>
    <w:rsid w:val="4B073A5C"/>
    <w:rsid w:val="4B387880"/>
    <w:rsid w:val="4B44760D"/>
    <w:rsid w:val="4B5C5D27"/>
    <w:rsid w:val="4B5E326D"/>
    <w:rsid w:val="4B840ACD"/>
    <w:rsid w:val="4B8C42AD"/>
    <w:rsid w:val="4BC51F60"/>
    <w:rsid w:val="4BD2475B"/>
    <w:rsid w:val="4BF72474"/>
    <w:rsid w:val="4C2E5AE5"/>
    <w:rsid w:val="4C4F0B45"/>
    <w:rsid w:val="4CFE0B0C"/>
    <w:rsid w:val="4CFE47D7"/>
    <w:rsid w:val="4D225F85"/>
    <w:rsid w:val="4D570416"/>
    <w:rsid w:val="4D783DF7"/>
    <w:rsid w:val="4D7908B5"/>
    <w:rsid w:val="4DA74A82"/>
    <w:rsid w:val="4DA969FC"/>
    <w:rsid w:val="4DB73FDD"/>
    <w:rsid w:val="4E3B70D2"/>
    <w:rsid w:val="4E5C3A58"/>
    <w:rsid w:val="4E623516"/>
    <w:rsid w:val="4E865AFC"/>
    <w:rsid w:val="4F066320"/>
    <w:rsid w:val="4F0C4606"/>
    <w:rsid w:val="4F3D5624"/>
    <w:rsid w:val="4F4E6EBF"/>
    <w:rsid w:val="4F7D4C71"/>
    <w:rsid w:val="4FA80A1B"/>
    <w:rsid w:val="4FBF7ABB"/>
    <w:rsid w:val="4FCA7073"/>
    <w:rsid w:val="4FE259E9"/>
    <w:rsid w:val="50092961"/>
    <w:rsid w:val="501D7C2E"/>
    <w:rsid w:val="5026330C"/>
    <w:rsid w:val="50963550"/>
    <w:rsid w:val="50BD3A0A"/>
    <w:rsid w:val="512C7508"/>
    <w:rsid w:val="513444D8"/>
    <w:rsid w:val="52321D93"/>
    <w:rsid w:val="52420452"/>
    <w:rsid w:val="524A5FDD"/>
    <w:rsid w:val="52533FC1"/>
    <w:rsid w:val="52B85DAB"/>
    <w:rsid w:val="52F30FD8"/>
    <w:rsid w:val="530973DA"/>
    <w:rsid w:val="532C6DAB"/>
    <w:rsid w:val="53BB70AD"/>
    <w:rsid w:val="53DA43C4"/>
    <w:rsid w:val="53E267AB"/>
    <w:rsid w:val="53FA3F08"/>
    <w:rsid w:val="54D02C4B"/>
    <w:rsid w:val="54D758A7"/>
    <w:rsid w:val="550D6F8B"/>
    <w:rsid w:val="55112B45"/>
    <w:rsid w:val="551D1A51"/>
    <w:rsid w:val="55351206"/>
    <w:rsid w:val="55653C63"/>
    <w:rsid w:val="558E7146"/>
    <w:rsid w:val="558F79BB"/>
    <w:rsid w:val="55A649AE"/>
    <w:rsid w:val="55D93627"/>
    <w:rsid w:val="56602AF8"/>
    <w:rsid w:val="569D1848"/>
    <w:rsid w:val="56B13A64"/>
    <w:rsid w:val="56BA3AA0"/>
    <w:rsid w:val="56C500AD"/>
    <w:rsid w:val="56CF6D97"/>
    <w:rsid w:val="56D66689"/>
    <w:rsid w:val="570E46A2"/>
    <w:rsid w:val="576A3F6A"/>
    <w:rsid w:val="57847C36"/>
    <w:rsid w:val="581110D0"/>
    <w:rsid w:val="584E2691"/>
    <w:rsid w:val="585865A5"/>
    <w:rsid w:val="586A742C"/>
    <w:rsid w:val="5881039C"/>
    <w:rsid w:val="589E5692"/>
    <w:rsid w:val="58C134D7"/>
    <w:rsid w:val="58C94C3F"/>
    <w:rsid w:val="591E42EB"/>
    <w:rsid w:val="592A1676"/>
    <w:rsid w:val="59E71DDE"/>
    <w:rsid w:val="59F237BA"/>
    <w:rsid w:val="5A064D2E"/>
    <w:rsid w:val="5A496D02"/>
    <w:rsid w:val="5A53496E"/>
    <w:rsid w:val="5A7756D8"/>
    <w:rsid w:val="5A96078C"/>
    <w:rsid w:val="5ABB0552"/>
    <w:rsid w:val="5AC87CD6"/>
    <w:rsid w:val="5AE85A5C"/>
    <w:rsid w:val="5B18744E"/>
    <w:rsid w:val="5BC63955"/>
    <w:rsid w:val="5C0F0287"/>
    <w:rsid w:val="5C4A2BD7"/>
    <w:rsid w:val="5C617578"/>
    <w:rsid w:val="5CAF68F6"/>
    <w:rsid w:val="5CF84E92"/>
    <w:rsid w:val="5D213D72"/>
    <w:rsid w:val="5D63632E"/>
    <w:rsid w:val="5D89138F"/>
    <w:rsid w:val="5DD63758"/>
    <w:rsid w:val="5E2775BD"/>
    <w:rsid w:val="5E326512"/>
    <w:rsid w:val="5E4205CC"/>
    <w:rsid w:val="5E504C73"/>
    <w:rsid w:val="5E985E8A"/>
    <w:rsid w:val="5EE54D87"/>
    <w:rsid w:val="5FB455AB"/>
    <w:rsid w:val="5FC53DEC"/>
    <w:rsid w:val="5FCB7633"/>
    <w:rsid w:val="5FD539BB"/>
    <w:rsid w:val="5FD8479E"/>
    <w:rsid w:val="5FEF4FD0"/>
    <w:rsid w:val="5FF11588"/>
    <w:rsid w:val="5FF7262C"/>
    <w:rsid w:val="602A40EB"/>
    <w:rsid w:val="604526F2"/>
    <w:rsid w:val="60585DBB"/>
    <w:rsid w:val="609F50E9"/>
    <w:rsid w:val="61394E2C"/>
    <w:rsid w:val="617F4494"/>
    <w:rsid w:val="61FE7898"/>
    <w:rsid w:val="621C7A8F"/>
    <w:rsid w:val="62A11A47"/>
    <w:rsid w:val="62B4089B"/>
    <w:rsid w:val="62E94FF3"/>
    <w:rsid w:val="62F475B6"/>
    <w:rsid w:val="630C6A64"/>
    <w:rsid w:val="631F7E44"/>
    <w:rsid w:val="63376FCF"/>
    <w:rsid w:val="63604CB9"/>
    <w:rsid w:val="637C04DD"/>
    <w:rsid w:val="63964CCA"/>
    <w:rsid w:val="63B3451B"/>
    <w:rsid w:val="648D18F2"/>
    <w:rsid w:val="64B66747"/>
    <w:rsid w:val="64D23995"/>
    <w:rsid w:val="65091AAC"/>
    <w:rsid w:val="652A2E44"/>
    <w:rsid w:val="654E4849"/>
    <w:rsid w:val="65686657"/>
    <w:rsid w:val="65BD69EB"/>
    <w:rsid w:val="662B5A52"/>
    <w:rsid w:val="664977CF"/>
    <w:rsid w:val="66721159"/>
    <w:rsid w:val="66EC4975"/>
    <w:rsid w:val="66F92550"/>
    <w:rsid w:val="67016B09"/>
    <w:rsid w:val="67203D95"/>
    <w:rsid w:val="67597141"/>
    <w:rsid w:val="67F83FF2"/>
    <w:rsid w:val="681B27B3"/>
    <w:rsid w:val="683116BC"/>
    <w:rsid w:val="686744D9"/>
    <w:rsid w:val="688F3871"/>
    <w:rsid w:val="68B42509"/>
    <w:rsid w:val="68D862F5"/>
    <w:rsid w:val="68DC76F5"/>
    <w:rsid w:val="68E74072"/>
    <w:rsid w:val="69173BDC"/>
    <w:rsid w:val="69B4453A"/>
    <w:rsid w:val="69BD4674"/>
    <w:rsid w:val="6A036769"/>
    <w:rsid w:val="6A325674"/>
    <w:rsid w:val="6A4D2C84"/>
    <w:rsid w:val="6A52291B"/>
    <w:rsid w:val="6A7B10E5"/>
    <w:rsid w:val="6A817F02"/>
    <w:rsid w:val="6A8A48EA"/>
    <w:rsid w:val="6ABF2B74"/>
    <w:rsid w:val="6B1E5B86"/>
    <w:rsid w:val="6B351E6F"/>
    <w:rsid w:val="6B7A4051"/>
    <w:rsid w:val="6BBA3B00"/>
    <w:rsid w:val="6BDD581C"/>
    <w:rsid w:val="6BE07043"/>
    <w:rsid w:val="6BE14999"/>
    <w:rsid w:val="6BF427CD"/>
    <w:rsid w:val="6BFB5FD1"/>
    <w:rsid w:val="6C2B3C2F"/>
    <w:rsid w:val="6D12175F"/>
    <w:rsid w:val="6D1F5AF0"/>
    <w:rsid w:val="6D42342C"/>
    <w:rsid w:val="6D437B25"/>
    <w:rsid w:val="6DDF25D9"/>
    <w:rsid w:val="6E155BD6"/>
    <w:rsid w:val="6E1D76E4"/>
    <w:rsid w:val="6E346B59"/>
    <w:rsid w:val="6E544C48"/>
    <w:rsid w:val="6E67178A"/>
    <w:rsid w:val="6ED54165"/>
    <w:rsid w:val="6F0C74B5"/>
    <w:rsid w:val="6F0F4773"/>
    <w:rsid w:val="6F3657AD"/>
    <w:rsid w:val="6F3B10C9"/>
    <w:rsid w:val="6F5B091E"/>
    <w:rsid w:val="6F8A1C5E"/>
    <w:rsid w:val="6F8F4B97"/>
    <w:rsid w:val="6F974373"/>
    <w:rsid w:val="6FAF7C66"/>
    <w:rsid w:val="6FC71802"/>
    <w:rsid w:val="6FC74058"/>
    <w:rsid w:val="70040E87"/>
    <w:rsid w:val="700F1F41"/>
    <w:rsid w:val="704871A4"/>
    <w:rsid w:val="70592DFA"/>
    <w:rsid w:val="70694F36"/>
    <w:rsid w:val="70880C5C"/>
    <w:rsid w:val="70B523D0"/>
    <w:rsid w:val="70DD3906"/>
    <w:rsid w:val="7109479F"/>
    <w:rsid w:val="719B076B"/>
    <w:rsid w:val="71C160BF"/>
    <w:rsid w:val="71DC2403"/>
    <w:rsid w:val="72EC7281"/>
    <w:rsid w:val="73393BC2"/>
    <w:rsid w:val="737B44DB"/>
    <w:rsid w:val="73842E33"/>
    <w:rsid w:val="73A6040A"/>
    <w:rsid w:val="73D310AD"/>
    <w:rsid w:val="74031DBD"/>
    <w:rsid w:val="74262B1B"/>
    <w:rsid w:val="74403517"/>
    <w:rsid w:val="74526313"/>
    <w:rsid w:val="74776999"/>
    <w:rsid w:val="747F1F65"/>
    <w:rsid w:val="74A6094A"/>
    <w:rsid w:val="74CC21DF"/>
    <w:rsid w:val="74E16F35"/>
    <w:rsid w:val="753606CB"/>
    <w:rsid w:val="753F3D93"/>
    <w:rsid w:val="75532D3D"/>
    <w:rsid w:val="758805C2"/>
    <w:rsid w:val="7588697C"/>
    <w:rsid w:val="761F2330"/>
    <w:rsid w:val="763F26D5"/>
    <w:rsid w:val="764D0528"/>
    <w:rsid w:val="76621CC3"/>
    <w:rsid w:val="768677C8"/>
    <w:rsid w:val="76C82F19"/>
    <w:rsid w:val="77045A49"/>
    <w:rsid w:val="77266E5A"/>
    <w:rsid w:val="77291B31"/>
    <w:rsid w:val="77470639"/>
    <w:rsid w:val="775C7088"/>
    <w:rsid w:val="77701354"/>
    <w:rsid w:val="77750DFA"/>
    <w:rsid w:val="77902D8C"/>
    <w:rsid w:val="779A189F"/>
    <w:rsid w:val="781F51BA"/>
    <w:rsid w:val="78494544"/>
    <w:rsid w:val="788E2C97"/>
    <w:rsid w:val="78E431C4"/>
    <w:rsid w:val="78EB4A40"/>
    <w:rsid w:val="794F64D5"/>
    <w:rsid w:val="796C6682"/>
    <w:rsid w:val="79BB696B"/>
    <w:rsid w:val="79F761CC"/>
    <w:rsid w:val="79F944AF"/>
    <w:rsid w:val="7A2F69EB"/>
    <w:rsid w:val="7A4413F9"/>
    <w:rsid w:val="7A5711E4"/>
    <w:rsid w:val="7A822D65"/>
    <w:rsid w:val="7AEA0E27"/>
    <w:rsid w:val="7BA46052"/>
    <w:rsid w:val="7BAF6112"/>
    <w:rsid w:val="7BBE1FE9"/>
    <w:rsid w:val="7C4A702F"/>
    <w:rsid w:val="7C735E4E"/>
    <w:rsid w:val="7C743047"/>
    <w:rsid w:val="7C8C5F6D"/>
    <w:rsid w:val="7D071AF5"/>
    <w:rsid w:val="7D394FD8"/>
    <w:rsid w:val="7D7E764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7"/>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7"/>
    <w:autoRedefine/>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4"/>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next w:val="16"/>
    <w:link w:val="140"/>
    <w:autoRedefine/>
    <w:qFormat/>
    <w:uiPriority w:val="0"/>
    <w:pPr>
      <w:spacing w:line="360" w:lineRule="auto"/>
      <w:ind w:firstLine="200" w:firstLineChars="200"/>
    </w:pPr>
    <w:rPr>
      <w:sz w:val="24"/>
      <w:szCs w:val="20"/>
    </w:rPr>
  </w:style>
  <w:style w:type="paragraph" w:styleId="16">
    <w:name w:val="toc 4"/>
    <w:basedOn w:val="1"/>
    <w:next w:val="1"/>
    <w:autoRedefine/>
    <w:qFormat/>
    <w:uiPriority w:val="39"/>
    <w:pPr>
      <w:spacing w:line="440" w:lineRule="exact"/>
      <w:ind w:left="840"/>
      <w:jc w:val="left"/>
    </w:pPr>
    <w:rPr>
      <w:rFonts w:ascii="Calibri" w:hAnsi="Calibri"/>
      <w:sz w:val="18"/>
      <w:szCs w:val="18"/>
    </w:rPr>
  </w:style>
  <w:style w:type="paragraph" w:styleId="17">
    <w:name w:val="caption"/>
    <w:basedOn w:val="1"/>
    <w:next w:val="1"/>
    <w:link w:val="98"/>
    <w:autoRedefine/>
    <w:qFormat/>
    <w:uiPriority w:val="0"/>
    <w:pPr>
      <w:spacing w:line="480" w:lineRule="auto"/>
    </w:pPr>
    <w:rPr>
      <w:rFonts w:ascii="华文中宋" w:eastAsia="华文中宋"/>
      <w:sz w:val="36"/>
      <w:szCs w:val="20"/>
    </w:rPr>
  </w:style>
  <w:style w:type="paragraph" w:styleId="18">
    <w:name w:val="index 5"/>
    <w:basedOn w:val="1"/>
    <w:next w:val="1"/>
    <w:autoRedefine/>
    <w:qFormat/>
    <w:uiPriority w:val="99"/>
    <w:pPr>
      <w:ind w:left="800" w:leftChars="800"/>
    </w:pPr>
    <w:rPr>
      <w:rFonts w:eastAsia="宋体"/>
    </w:rPr>
  </w:style>
  <w:style w:type="paragraph" w:styleId="19">
    <w:name w:val="Document Map"/>
    <w:basedOn w:val="1"/>
    <w:link w:val="134"/>
    <w:autoRedefine/>
    <w:qFormat/>
    <w:uiPriority w:val="99"/>
    <w:pPr>
      <w:spacing w:line="440" w:lineRule="exact"/>
    </w:pPr>
    <w:rPr>
      <w:rFonts w:ascii="宋体"/>
      <w:sz w:val="18"/>
      <w:szCs w:val="18"/>
    </w:rPr>
  </w:style>
  <w:style w:type="paragraph" w:styleId="20">
    <w:name w:val="toa heading"/>
    <w:basedOn w:val="1"/>
    <w:next w:val="1"/>
    <w:autoRedefine/>
    <w:unhideWhenUsed/>
    <w:qFormat/>
    <w:uiPriority w:val="99"/>
    <w:pPr>
      <w:spacing w:before="120"/>
    </w:pPr>
    <w:rPr>
      <w:rFonts w:ascii="Cambria" w:hAnsi="Cambria" w:eastAsia="宋体"/>
      <w:sz w:val="24"/>
    </w:rPr>
  </w:style>
  <w:style w:type="paragraph" w:styleId="21">
    <w:name w:val="annotation text"/>
    <w:basedOn w:val="1"/>
    <w:link w:val="104"/>
    <w:autoRedefine/>
    <w:qFormat/>
    <w:uiPriority w:val="0"/>
    <w:pPr>
      <w:jc w:val="left"/>
    </w:pPr>
    <w:rPr>
      <w:rFonts w:ascii="Tahoma" w:hAnsi="Tahoma"/>
    </w:rPr>
  </w:style>
  <w:style w:type="paragraph" w:styleId="22">
    <w:name w:val="Salutation"/>
    <w:basedOn w:val="14"/>
    <w:next w:val="14"/>
    <w:link w:val="203"/>
    <w:autoRedefine/>
    <w:qFormat/>
    <w:uiPriority w:val="0"/>
    <w:rPr>
      <w:rFonts w:ascii="..ì." w:eastAsia="..ì." w:cs="Times New Roman"/>
      <w:color w:val="auto"/>
      <w:szCs w:val="20"/>
    </w:rPr>
  </w:style>
  <w:style w:type="paragraph" w:styleId="23">
    <w:name w:val="Body Text 3"/>
    <w:basedOn w:val="1"/>
    <w:link w:val="211"/>
    <w:autoRedefine/>
    <w:qFormat/>
    <w:uiPriority w:val="99"/>
    <w:pPr>
      <w:spacing w:after="120"/>
    </w:pPr>
    <w:rPr>
      <w:rFonts w:eastAsia="宋体"/>
      <w:sz w:val="16"/>
      <w:szCs w:val="16"/>
    </w:rPr>
  </w:style>
  <w:style w:type="paragraph" w:styleId="24">
    <w:name w:val="Body Text"/>
    <w:basedOn w:val="1"/>
    <w:next w:val="1"/>
    <w:link w:val="138"/>
    <w:autoRedefine/>
    <w:qFormat/>
    <w:uiPriority w:val="99"/>
    <w:pPr>
      <w:spacing w:line="360" w:lineRule="auto"/>
    </w:pPr>
    <w:rPr>
      <w:rFonts w:ascii="Tahoma" w:hAnsi="Tahoma"/>
    </w:rPr>
  </w:style>
  <w:style w:type="paragraph" w:styleId="25">
    <w:name w:val="Body Text Indent"/>
    <w:basedOn w:val="1"/>
    <w:link w:val="170"/>
    <w:autoRedefine/>
    <w:qFormat/>
    <w:uiPriority w:val="99"/>
    <w:pPr>
      <w:widowControl/>
      <w:spacing w:line="360" w:lineRule="auto"/>
      <w:ind w:firstLine="709"/>
      <w:jc w:val="left"/>
    </w:pPr>
    <w:rPr>
      <w:rFonts w:ascii="Tahoma" w:hAnsi="Tahoma"/>
    </w:rPr>
  </w:style>
  <w:style w:type="paragraph" w:styleId="26">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7">
    <w:name w:val="List Bullet 2"/>
    <w:basedOn w:val="1"/>
    <w:autoRedefine/>
    <w:qFormat/>
    <w:uiPriority w:val="0"/>
    <w:pPr>
      <w:numPr>
        <w:ilvl w:val="1"/>
        <w:numId w:val="1"/>
      </w:numPr>
      <w:spacing w:line="360" w:lineRule="auto"/>
    </w:pPr>
    <w:rPr>
      <w:sz w:val="24"/>
      <w:szCs w:val="28"/>
    </w:rPr>
  </w:style>
  <w:style w:type="paragraph" w:styleId="28">
    <w:name w:val="toc 5"/>
    <w:basedOn w:val="1"/>
    <w:next w:val="1"/>
    <w:autoRedefine/>
    <w:qFormat/>
    <w:uiPriority w:val="39"/>
    <w:pPr>
      <w:spacing w:line="440" w:lineRule="exact"/>
      <w:ind w:left="1120"/>
      <w:jc w:val="left"/>
    </w:pPr>
    <w:rPr>
      <w:rFonts w:ascii="Calibri" w:hAnsi="Calibri"/>
      <w:sz w:val="18"/>
      <w:szCs w:val="18"/>
    </w:rPr>
  </w:style>
  <w:style w:type="paragraph" w:styleId="29">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30">
    <w:name w:val="Plain Text"/>
    <w:basedOn w:val="1"/>
    <w:link w:val="225"/>
    <w:autoRedefine/>
    <w:qFormat/>
    <w:uiPriority w:val="0"/>
    <w:pPr>
      <w:spacing w:line="360" w:lineRule="auto"/>
    </w:pPr>
    <w:rPr>
      <w:rFonts w:ascii="宋体" w:hAnsi="Courier New"/>
      <w:szCs w:val="21"/>
    </w:rPr>
  </w:style>
  <w:style w:type="paragraph" w:styleId="31">
    <w:name w:val="toc 8"/>
    <w:basedOn w:val="1"/>
    <w:next w:val="1"/>
    <w:autoRedefine/>
    <w:qFormat/>
    <w:uiPriority w:val="39"/>
    <w:pPr>
      <w:spacing w:line="440" w:lineRule="exact"/>
      <w:ind w:left="1960"/>
      <w:jc w:val="left"/>
    </w:pPr>
    <w:rPr>
      <w:rFonts w:ascii="Calibri" w:hAnsi="Calibri"/>
      <w:sz w:val="18"/>
      <w:szCs w:val="18"/>
    </w:rPr>
  </w:style>
  <w:style w:type="paragraph" w:styleId="32">
    <w:name w:val="Date"/>
    <w:basedOn w:val="1"/>
    <w:next w:val="1"/>
    <w:link w:val="201"/>
    <w:autoRedefine/>
    <w:qFormat/>
    <w:uiPriority w:val="99"/>
    <w:pPr>
      <w:spacing w:line="360" w:lineRule="auto"/>
      <w:ind w:left="2500" w:leftChars="2500"/>
    </w:pPr>
    <w:rPr>
      <w:rFonts w:ascii="Tahoma" w:hAnsi="Tahoma"/>
    </w:rPr>
  </w:style>
  <w:style w:type="paragraph" w:styleId="33">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4">
    <w:name w:val="Balloon Text"/>
    <w:basedOn w:val="1"/>
    <w:link w:val="100"/>
    <w:autoRedefine/>
    <w:qFormat/>
    <w:uiPriority w:val="0"/>
    <w:rPr>
      <w:sz w:val="18"/>
      <w:szCs w:val="18"/>
    </w:rPr>
  </w:style>
  <w:style w:type="paragraph" w:styleId="35">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4"/>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2"/>
    <w:autoRedefine/>
    <w:qFormat/>
    <w:uiPriority w:val="99"/>
    <w:pPr>
      <w:spacing w:line="360" w:lineRule="auto"/>
      <w:ind w:right="26"/>
    </w:pPr>
    <w:rPr>
      <w:rFonts w:ascii="宋体" w:eastAsia="宋体"/>
      <w:szCs w:val="20"/>
    </w:rPr>
  </w:style>
  <w:style w:type="paragraph" w:styleId="43">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1"/>
    <w:next w:val="21"/>
    <w:link w:val="132"/>
    <w:autoRedefine/>
    <w:unhideWhenUsed/>
    <w:qFormat/>
    <w:uiPriority w:val="99"/>
    <w:pPr>
      <w:spacing w:line="440" w:lineRule="exact"/>
    </w:pPr>
    <w:rPr>
      <w:b/>
      <w:bCs/>
      <w:sz w:val="24"/>
      <w:szCs w:val="28"/>
    </w:rPr>
  </w:style>
  <w:style w:type="paragraph" w:styleId="48">
    <w:name w:val="Body Text First Indent"/>
    <w:basedOn w:val="24"/>
    <w:link w:val="135"/>
    <w:autoRedefine/>
    <w:qFormat/>
    <w:uiPriority w:val="0"/>
    <w:pPr>
      <w:spacing w:after="120" w:line="240" w:lineRule="auto"/>
      <w:ind w:firstLine="100" w:firstLineChars="100"/>
    </w:pPr>
  </w:style>
  <w:style w:type="paragraph" w:styleId="49">
    <w:name w:val="Body Text First Indent 2"/>
    <w:basedOn w:val="25"/>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autoRedefine/>
    <w:semiHidden/>
    <w:unhideWhenUsed/>
    <w:qFormat/>
    <w:uiPriority w:val="0"/>
    <w:rPr>
      <w:rFonts w:ascii="monospace" w:hAnsi="monospace" w:eastAsia="monospace" w:cs="monospace"/>
      <w:sz w:val="20"/>
    </w:rPr>
  </w:style>
  <w:style w:type="character" w:styleId="59">
    <w:name w:val="HTML Acronym"/>
    <w:basedOn w:val="52"/>
    <w:autoRedefine/>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basedOn w:val="52"/>
    <w:autoRedefine/>
    <w:unhideWhenUsed/>
    <w:qFormat/>
    <w:uiPriority w:val="0"/>
    <w:rPr>
      <w:rFonts w:hint="default"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autoRedefine/>
    <w:unhideWhenUsed/>
    <w:qFormat/>
    <w:uiPriority w:val="0"/>
  </w:style>
  <w:style w:type="character" w:styleId="65">
    <w:name w:val="HTML Keyboard"/>
    <w:basedOn w:val="52"/>
    <w:autoRedefine/>
    <w:semiHidden/>
    <w:unhideWhenUsed/>
    <w:qFormat/>
    <w:uiPriority w:val="0"/>
    <w:rPr>
      <w:rFonts w:hint="default" w:ascii="monospace" w:hAnsi="monospace" w:eastAsia="monospace" w:cs="monospace"/>
      <w:sz w:val="20"/>
    </w:rPr>
  </w:style>
  <w:style w:type="character" w:styleId="66">
    <w:name w:val="HTML Sample"/>
    <w:basedOn w:val="52"/>
    <w:autoRedefine/>
    <w:semiHidden/>
    <w:unhideWhenUsed/>
    <w:qFormat/>
    <w:uiPriority w:val="0"/>
    <w:rPr>
      <w:rFonts w:hint="default" w:ascii="monospace" w:hAnsi="monospace" w:eastAsia="monospace" w:cs="monospace"/>
    </w:rPr>
  </w:style>
  <w:style w:type="paragraph" w:customStyle="1" w:styleId="67">
    <w:name w:val="正文缩进1"/>
    <w:basedOn w:val="1"/>
    <w:autoRedefine/>
    <w:qFormat/>
    <w:uiPriority w:val="0"/>
    <w:pPr>
      <w:ind w:firstLine="420" w:firstLineChars="200"/>
    </w:p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15"/>
    <w:autoRedefine/>
    <w:qFormat/>
    <w:uiPriority w:val="0"/>
    <w:pPr>
      <w:ind w:firstLine="420"/>
    </w:pPr>
    <w:rPr>
      <w:sz w:val="21"/>
      <w:szCs w:val="21"/>
    </w:rPr>
  </w:style>
  <w:style w:type="paragraph" w:customStyle="1" w:styleId="82">
    <w:name w:val="标题2"/>
    <w:basedOn w:val="4"/>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4"/>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5"/>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7"/>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4"/>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Char"/>
    <w:link w:val="17"/>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Char"/>
    <w:link w:val="34"/>
    <w:autoRedefine/>
    <w:qFormat/>
    <w:uiPriority w:val="0"/>
    <w:rPr>
      <w:kern w:val="2"/>
      <w:sz w:val="18"/>
      <w:szCs w:val="18"/>
    </w:rPr>
  </w:style>
  <w:style w:type="character" w:customStyle="1" w:styleId="101">
    <w:name w:val="refresh"/>
    <w:basedOn w:val="52"/>
    <w:autoRedefine/>
    <w:qFormat/>
    <w:uiPriority w:val="0"/>
  </w:style>
  <w:style w:type="character" w:customStyle="1" w:styleId="102">
    <w:name w:val="小列表 Char Char"/>
    <w:link w:val="96"/>
    <w:autoRedefine/>
    <w:qFormat/>
    <w:uiPriority w:val="0"/>
    <w:rPr>
      <w:rFonts w:eastAsia="Arial Unicode MS"/>
      <w:kern w:val="2"/>
      <w:sz w:val="24"/>
      <w:szCs w:val="28"/>
    </w:rPr>
  </w:style>
  <w:style w:type="character" w:customStyle="1" w:styleId="103">
    <w:name w:val="del"/>
    <w:basedOn w:val="52"/>
    <w:autoRedefine/>
    <w:qFormat/>
    <w:uiPriority w:val="0"/>
  </w:style>
  <w:style w:type="character" w:customStyle="1" w:styleId="104">
    <w:name w:val="批注文字 Char1"/>
    <w:link w:val="21"/>
    <w:autoRedefine/>
    <w:qFormat/>
    <w:uiPriority w:val="0"/>
    <w:rPr>
      <w:rFonts w:ascii="Tahoma" w:hAnsi="Tahoma"/>
      <w:kern w:val="2"/>
      <w:sz w:val="21"/>
      <w:szCs w:val="24"/>
    </w:rPr>
  </w:style>
  <w:style w:type="character" w:customStyle="1" w:styleId="105">
    <w:name w:val="正文缩进 Char1"/>
    <w:autoRedefine/>
    <w:qFormat/>
    <w:uiPriority w:val="0"/>
    <w:rPr>
      <w:rFonts w:eastAsia="宋体"/>
      <w:kern w:val="2"/>
      <w:sz w:val="21"/>
      <w:szCs w:val="24"/>
      <w:lang w:val="en-US" w:eastAsia="zh-CN" w:bidi="ar-SA"/>
    </w:rPr>
  </w:style>
  <w:style w:type="character" w:customStyle="1" w:styleId="106">
    <w:name w:val="标题 5 Char"/>
    <w:link w:val="7"/>
    <w:autoRedefine/>
    <w:qFormat/>
    <w:uiPriority w:val="99"/>
    <w:rPr>
      <w:b/>
      <w:bCs/>
      <w:kern w:val="2"/>
      <w:sz w:val="24"/>
      <w:szCs w:val="28"/>
    </w:rPr>
  </w:style>
  <w:style w:type="character" w:customStyle="1" w:styleId="107">
    <w:name w:val="标题 2 Char"/>
    <w:link w:val="4"/>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2"/>
    <w:autoRedefine/>
    <w:qFormat/>
    <w:uiPriority w:val="0"/>
  </w:style>
  <w:style w:type="character" w:customStyle="1" w:styleId="112">
    <w:name w:val="标题 8 Char"/>
    <w:link w:val="10"/>
    <w:autoRedefine/>
    <w:qFormat/>
    <w:uiPriority w:val="99"/>
    <w:rPr>
      <w:rFonts w:ascii="Arial" w:hAnsi="Arial" w:eastAsia="黑体"/>
      <w:kern w:val="2"/>
      <w:sz w:val="24"/>
      <w:szCs w:val="28"/>
    </w:rPr>
  </w:style>
  <w:style w:type="character" w:customStyle="1" w:styleId="113">
    <w:name w:val="open2"/>
    <w:basedOn w:val="52"/>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2"/>
    <w:autoRedefine/>
    <w:qFormat/>
    <w:uiPriority w:val="0"/>
  </w:style>
  <w:style w:type="character" w:customStyle="1" w:styleId="116">
    <w:name w:val="del2"/>
    <w:basedOn w:val="52"/>
    <w:autoRedefine/>
    <w:qFormat/>
    <w:uiPriority w:val="0"/>
  </w:style>
  <w:style w:type="character" w:customStyle="1" w:styleId="117">
    <w:name w:val="标题 3 Char"/>
    <w:link w:val="5"/>
    <w:autoRedefine/>
    <w:qFormat/>
    <w:uiPriority w:val="99"/>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2"/>
    <w:autoRedefine/>
    <w:qFormat/>
    <w:uiPriority w:val="0"/>
  </w:style>
  <w:style w:type="character" w:customStyle="1" w:styleId="120">
    <w:name w:val="morewin"/>
    <w:basedOn w:val="52"/>
    <w:autoRedefine/>
    <w:qFormat/>
    <w:uiPriority w:val="0"/>
  </w:style>
  <w:style w:type="character" w:customStyle="1" w:styleId="121">
    <w:name w:val="open"/>
    <w:basedOn w:val="52"/>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Char"/>
    <w:link w:val="3"/>
    <w:autoRedefine/>
    <w:qFormat/>
    <w:uiPriority w:val="99"/>
    <w:rPr>
      <w:rFonts w:ascii="Tahoma" w:hAnsi="Tahoma"/>
      <w:b/>
      <w:bCs/>
      <w:kern w:val="44"/>
      <w:sz w:val="24"/>
      <w:szCs w:val="44"/>
    </w:rPr>
  </w:style>
  <w:style w:type="character" w:customStyle="1" w:styleId="126">
    <w:name w:val="页眉 Char"/>
    <w:link w:val="35"/>
    <w:autoRedefine/>
    <w:qFormat/>
    <w:uiPriority w:val="99"/>
    <w:rPr>
      <w:rFonts w:ascii="Tahoma" w:hAnsi="Tahoma"/>
      <w:kern w:val="2"/>
      <w:sz w:val="18"/>
      <w:szCs w:val="18"/>
    </w:rPr>
  </w:style>
  <w:style w:type="character" w:customStyle="1" w:styleId="127">
    <w:name w:val="标题 7 Char"/>
    <w:link w:val="9"/>
    <w:autoRedefine/>
    <w:qFormat/>
    <w:uiPriority w:val="99"/>
    <w:rPr>
      <w:b/>
      <w:bCs/>
      <w:kern w:val="2"/>
      <w:sz w:val="24"/>
      <w:szCs w:val="28"/>
    </w:rPr>
  </w:style>
  <w:style w:type="character" w:customStyle="1" w:styleId="128">
    <w:name w:val="标题 Char"/>
    <w:link w:val="46"/>
    <w:autoRedefine/>
    <w:qFormat/>
    <w:uiPriority w:val="0"/>
    <w:rPr>
      <w:rFonts w:ascii="Cambria" w:hAnsi="Cambria"/>
      <w:b/>
      <w:bCs/>
      <w:kern w:val="2"/>
      <w:sz w:val="32"/>
      <w:szCs w:val="32"/>
    </w:rPr>
  </w:style>
  <w:style w:type="character" w:customStyle="1" w:styleId="129">
    <w:name w:val="标题 9 Char"/>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2"/>
    <w:autoRedefine/>
    <w:qFormat/>
    <w:uiPriority w:val="0"/>
  </w:style>
  <w:style w:type="character" w:customStyle="1" w:styleId="132">
    <w:name w:val="批注主题 Char"/>
    <w:link w:val="47"/>
    <w:autoRedefine/>
    <w:qFormat/>
    <w:uiPriority w:val="99"/>
    <w:rPr>
      <w:rFonts w:ascii="Tahoma" w:hAnsi="Tahoma"/>
      <w:b/>
      <w:bCs/>
      <w:kern w:val="2"/>
      <w:sz w:val="24"/>
      <w:szCs w:val="28"/>
    </w:rPr>
  </w:style>
  <w:style w:type="character" w:customStyle="1" w:styleId="133">
    <w:name w:val="pagebanner"/>
    <w:basedOn w:val="52"/>
    <w:autoRedefine/>
    <w:qFormat/>
    <w:uiPriority w:val="0"/>
  </w:style>
  <w:style w:type="character" w:customStyle="1" w:styleId="134">
    <w:name w:val="文档结构图 Char"/>
    <w:link w:val="19"/>
    <w:autoRedefine/>
    <w:qFormat/>
    <w:uiPriority w:val="99"/>
    <w:rPr>
      <w:rFonts w:ascii="宋体"/>
      <w:kern w:val="2"/>
      <w:sz w:val="18"/>
      <w:szCs w:val="18"/>
    </w:rPr>
  </w:style>
  <w:style w:type="character" w:customStyle="1" w:styleId="135">
    <w:name w:val="正文首行缩进 Char"/>
    <w:link w:val="48"/>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Char"/>
    <w:link w:val="8"/>
    <w:autoRedefine/>
    <w:qFormat/>
    <w:uiPriority w:val="99"/>
    <w:rPr>
      <w:rFonts w:ascii="Arial" w:hAnsi="Arial" w:eastAsia="黑体"/>
      <w:b/>
      <w:bCs/>
      <w:kern w:val="2"/>
      <w:sz w:val="24"/>
      <w:szCs w:val="28"/>
    </w:rPr>
  </w:style>
  <w:style w:type="character" w:customStyle="1" w:styleId="138">
    <w:name w:val="正文文本 Char"/>
    <w:link w:val="24"/>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Char"/>
    <w:link w:val="15"/>
    <w:autoRedefine/>
    <w:qFormat/>
    <w:uiPriority w:val="0"/>
    <w:rPr>
      <w:kern w:val="2"/>
      <w:sz w:val="24"/>
    </w:rPr>
  </w:style>
  <w:style w:type="character" w:customStyle="1" w:styleId="141">
    <w:name w:val="页脚 Char"/>
    <w:link w:val="2"/>
    <w:autoRedefine/>
    <w:qFormat/>
    <w:uiPriority w:val="99"/>
    <w:rPr>
      <w:rFonts w:ascii="Tahoma" w:hAnsi="Tahoma"/>
      <w:kern w:val="2"/>
      <w:sz w:val="18"/>
      <w:szCs w:val="18"/>
    </w:rPr>
  </w:style>
  <w:style w:type="character" w:customStyle="1" w:styleId="142">
    <w:name w:val="mod"/>
    <w:basedOn w:val="52"/>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Char"/>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autoRedefine/>
    <w:qFormat/>
    <w:uiPriority w:val="0"/>
    <w:rPr>
      <w:color w:val="BA2636"/>
      <w:sz w:val="12"/>
      <w:szCs w:val="12"/>
    </w:rPr>
  </w:style>
  <w:style w:type="character" w:customStyle="1" w:styleId="147">
    <w:name w:val="gjfg"/>
    <w:basedOn w:val="52"/>
    <w:autoRedefine/>
    <w:qFormat/>
    <w:uiPriority w:val="0"/>
  </w:style>
  <w:style w:type="character" w:customStyle="1" w:styleId="148">
    <w:name w:val="redfilenumber"/>
    <w:basedOn w:val="52"/>
    <w:autoRedefine/>
    <w:qFormat/>
    <w:uiPriority w:val="0"/>
    <w:rPr>
      <w:color w:val="BA2636"/>
      <w:sz w:val="12"/>
      <w:szCs w:val="12"/>
    </w:rPr>
  </w:style>
  <w:style w:type="character" w:customStyle="1" w:styleId="149">
    <w:name w:val="qxdate"/>
    <w:basedOn w:val="52"/>
    <w:autoRedefine/>
    <w:qFormat/>
    <w:uiPriority w:val="0"/>
    <w:rPr>
      <w:color w:val="333333"/>
      <w:sz w:val="12"/>
      <w:szCs w:val="12"/>
    </w:rPr>
  </w:style>
  <w:style w:type="character" w:customStyle="1" w:styleId="150">
    <w:name w:val="prev"/>
    <w:basedOn w:val="52"/>
    <w:autoRedefine/>
    <w:qFormat/>
    <w:uiPriority w:val="0"/>
    <w:rPr>
      <w:rFonts w:ascii="微软雅黑" w:hAnsi="微软雅黑" w:eastAsia="微软雅黑" w:cs="微软雅黑"/>
      <w:sz w:val="14"/>
      <w:szCs w:val="14"/>
    </w:rPr>
  </w:style>
  <w:style w:type="character" w:customStyle="1" w:styleId="151">
    <w:name w:val="cfdate"/>
    <w:basedOn w:val="52"/>
    <w:autoRedefine/>
    <w:qFormat/>
    <w:uiPriority w:val="0"/>
    <w:rPr>
      <w:color w:val="333333"/>
      <w:sz w:val="12"/>
      <w:szCs w:val="12"/>
    </w:rPr>
  </w:style>
  <w:style w:type="character" w:customStyle="1" w:styleId="152">
    <w:name w:val="displayarti"/>
    <w:basedOn w:val="52"/>
    <w:autoRedefine/>
    <w:qFormat/>
    <w:uiPriority w:val="0"/>
    <w:rPr>
      <w:color w:val="FFFFFF"/>
      <w:shd w:val="clear" w:color="auto" w:fill="A00000"/>
    </w:rPr>
  </w:style>
  <w:style w:type="character" w:customStyle="1" w:styleId="153">
    <w:name w:val="next2"/>
    <w:basedOn w:val="52"/>
    <w:autoRedefine/>
    <w:qFormat/>
    <w:uiPriority w:val="0"/>
    <w:rPr>
      <w:rFonts w:hint="eastAsia" w:ascii="微软雅黑" w:hAnsi="微软雅黑" w:eastAsia="微软雅黑" w:cs="微软雅黑"/>
      <w:sz w:val="14"/>
      <w:szCs w:val="14"/>
    </w:rPr>
  </w:style>
  <w:style w:type="character" w:customStyle="1" w:styleId="154">
    <w:name w:val="next3"/>
    <w:basedOn w:val="52"/>
    <w:autoRedefine/>
    <w:qFormat/>
    <w:uiPriority w:val="0"/>
    <w:rPr>
      <w:color w:val="888888"/>
    </w:rPr>
  </w:style>
  <w:style w:type="character" w:customStyle="1" w:styleId="155">
    <w:name w:val="next"/>
    <w:basedOn w:val="52"/>
    <w:autoRedefine/>
    <w:qFormat/>
    <w:uiPriority w:val="0"/>
    <w:rPr>
      <w:rFonts w:ascii="微软雅黑" w:hAnsi="微软雅黑" w:eastAsia="微软雅黑" w:cs="微软雅黑"/>
      <w:sz w:val="14"/>
      <w:szCs w:val="14"/>
    </w:rPr>
  </w:style>
  <w:style w:type="character" w:customStyle="1" w:styleId="156">
    <w:name w:val="prev1"/>
    <w:basedOn w:val="52"/>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5"/>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Char"/>
    <w:basedOn w:val="52"/>
    <w:link w:val="33"/>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Char"/>
    <w:basedOn w:val="52"/>
    <w:link w:val="25"/>
    <w:autoRedefine/>
    <w:qFormat/>
    <w:uiPriority w:val="99"/>
    <w:rPr>
      <w:rFonts w:ascii="Tahoma" w:hAnsi="Tahoma" w:eastAsia="Arial Unicode MS" w:cs="Times New Roman"/>
      <w:kern w:val="2"/>
      <w:sz w:val="21"/>
      <w:szCs w:val="24"/>
    </w:rPr>
  </w:style>
  <w:style w:type="character" w:customStyle="1" w:styleId="171">
    <w:name w:val="正文首行缩进 2 Char"/>
    <w:basedOn w:val="170"/>
    <w:link w:val="49"/>
    <w:autoRedefine/>
    <w:qFormat/>
    <w:uiPriority w:val="0"/>
    <w:rPr>
      <w:rFonts w:ascii="Times New Roman" w:hAnsi="Times New Roman" w:eastAsia="宋体" w:cs="Times New Roman"/>
      <w:kern w:val="2"/>
      <w:sz w:val="21"/>
      <w:szCs w:val="24"/>
    </w:rPr>
  </w:style>
  <w:style w:type="character" w:customStyle="1" w:styleId="172">
    <w:name w:val="正文文本 2 Char"/>
    <w:basedOn w:val="52"/>
    <w:link w:val="42"/>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样式1"/>
    <w:basedOn w:val="1"/>
    <w:next w:val="5"/>
    <w:autoRedefine/>
    <w:qFormat/>
    <w:uiPriority w:val="99"/>
    <w:rPr>
      <w:rFonts w:eastAsia="宋体"/>
      <w:sz w:val="24"/>
      <w:szCs w:val="20"/>
    </w:rPr>
  </w:style>
  <w:style w:type="paragraph" w:customStyle="1" w:styleId="178">
    <w:name w:val="默认段落字体 Para Char Char Char Char Char Char Char Char Char Char"/>
    <w:basedOn w:val="19"/>
    <w:autoRedefine/>
    <w:qFormat/>
    <w:uiPriority w:val="0"/>
    <w:pPr>
      <w:shd w:val="clear" w:color="auto" w:fill="000080"/>
      <w:spacing w:line="240" w:lineRule="auto"/>
    </w:pPr>
    <w:rPr>
      <w:rFonts w:ascii="Tahoma" w:hAnsi="Tahoma" w:eastAsia="宋体"/>
      <w:sz w:val="24"/>
      <w:szCs w:val="24"/>
    </w:rPr>
  </w:style>
  <w:style w:type="paragraph" w:customStyle="1" w:styleId="179">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0">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2">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0">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1">
    <w:name w:val="日期 Char"/>
    <w:link w:val="32"/>
    <w:autoRedefine/>
    <w:qFormat/>
    <w:uiPriority w:val="99"/>
    <w:rPr>
      <w:rFonts w:ascii="Tahoma" w:hAnsi="Tahoma" w:eastAsia="Arial Unicode MS" w:cs="Times New Roman"/>
      <w:kern w:val="2"/>
      <w:sz w:val="21"/>
      <w:szCs w:val="24"/>
    </w:rPr>
  </w:style>
  <w:style w:type="character" w:customStyle="1" w:styleId="202">
    <w:name w:val="Char Char"/>
    <w:autoRedefine/>
    <w:qFormat/>
    <w:uiPriority w:val="0"/>
    <w:rPr>
      <w:rFonts w:eastAsia="宋体"/>
      <w:kern w:val="2"/>
      <w:sz w:val="24"/>
      <w:lang w:val="en-US" w:eastAsia="zh-CN" w:bidi="ar-SA"/>
    </w:rPr>
  </w:style>
  <w:style w:type="character" w:customStyle="1" w:styleId="203">
    <w:name w:val="称呼 Char"/>
    <w:basedOn w:val="52"/>
    <w:link w:val="22"/>
    <w:autoRedefine/>
    <w:qFormat/>
    <w:uiPriority w:val="0"/>
    <w:rPr>
      <w:rFonts w:ascii="..ì." w:hAnsi="Times New Roman" w:eastAsia="..ì." w:cs="Times New Roman"/>
      <w:sz w:val="24"/>
    </w:rPr>
  </w:style>
  <w:style w:type="character" w:customStyle="1" w:styleId="204">
    <w:name w:val="注释标题 Char"/>
    <w:basedOn w:val="52"/>
    <w:link w:val="13"/>
    <w:autoRedefine/>
    <w:qFormat/>
    <w:uiPriority w:val="0"/>
    <w:rPr>
      <w:rFonts w:ascii="..ì." w:hAnsi="Times New Roman" w:eastAsia="..ì." w:cs="Times New Roman"/>
      <w:sz w:val="24"/>
    </w:rPr>
  </w:style>
  <w:style w:type="paragraph" w:customStyle="1" w:styleId="205">
    <w:name w:val="1 Char Char Char Char"/>
    <w:basedOn w:val="1"/>
    <w:autoRedefine/>
    <w:qFormat/>
    <w:uiPriority w:val="0"/>
    <w:rPr>
      <w:rFonts w:ascii="Tahoma" w:hAnsi="Tahoma" w:eastAsia="宋体"/>
      <w:sz w:val="24"/>
      <w:szCs w:val="20"/>
    </w:rPr>
  </w:style>
  <w:style w:type="paragraph" w:customStyle="1" w:styleId="20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7">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8">
    <w:name w:val="标题 1 Char1"/>
    <w:autoRedefine/>
    <w:qFormat/>
    <w:uiPriority w:val="99"/>
    <w:rPr>
      <w:rFonts w:ascii="黑体" w:eastAsia="黑体"/>
      <w:sz w:val="52"/>
      <w:lang w:bidi="ar-SA"/>
    </w:rPr>
  </w:style>
  <w:style w:type="paragraph" w:customStyle="1" w:styleId="209">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10">
    <w:name w:val="3"/>
    <w:basedOn w:val="1"/>
    <w:next w:val="23"/>
    <w:autoRedefine/>
    <w:qFormat/>
    <w:uiPriority w:val="99"/>
    <w:rPr>
      <w:rFonts w:ascii="宋体" w:eastAsia="宋体"/>
      <w:sz w:val="24"/>
      <w:szCs w:val="20"/>
    </w:rPr>
  </w:style>
  <w:style w:type="character" w:customStyle="1" w:styleId="211">
    <w:name w:val="正文文本 3 Char"/>
    <w:basedOn w:val="52"/>
    <w:link w:val="23"/>
    <w:autoRedefine/>
    <w:qFormat/>
    <w:uiPriority w:val="99"/>
    <w:rPr>
      <w:rFonts w:ascii="Times New Roman" w:hAnsi="Times New Roman" w:eastAsia="宋体" w:cs="Times New Roman"/>
      <w:kern w:val="2"/>
      <w:sz w:val="16"/>
      <w:szCs w:val="16"/>
    </w:rPr>
  </w:style>
  <w:style w:type="paragraph" w:customStyle="1" w:styleId="212">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3">
    <w:name w:val="2"/>
    <w:basedOn w:val="1"/>
    <w:next w:val="25"/>
    <w:autoRedefine/>
    <w:qFormat/>
    <w:uiPriority w:val="99"/>
    <w:pPr>
      <w:ind w:left="432"/>
    </w:pPr>
    <w:rPr>
      <w:rFonts w:eastAsia="宋体"/>
      <w:szCs w:val="20"/>
    </w:rPr>
  </w:style>
  <w:style w:type="character" w:customStyle="1" w:styleId="214">
    <w:name w:val="正文文本缩进 3 Char"/>
    <w:link w:val="39"/>
    <w:autoRedefine/>
    <w:qFormat/>
    <w:uiPriority w:val="99"/>
    <w:rPr>
      <w:rFonts w:ascii="Times New Roman" w:hAnsi="Times New Roman" w:eastAsia="Arial Unicode MS" w:cs="Times New Roman"/>
      <w:kern w:val="2"/>
      <w:sz w:val="16"/>
      <w:szCs w:val="16"/>
    </w:rPr>
  </w:style>
  <w:style w:type="paragraph" w:customStyle="1" w:styleId="215">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6">
    <w:name w:val="Char1111"/>
    <w:basedOn w:val="1"/>
    <w:autoRedefine/>
    <w:qFormat/>
    <w:uiPriority w:val="0"/>
    <w:rPr>
      <w:rFonts w:ascii="Tahoma" w:hAnsi="Tahoma" w:eastAsia="宋体"/>
      <w:sz w:val="24"/>
      <w:szCs w:val="20"/>
    </w:rPr>
  </w:style>
  <w:style w:type="character" w:customStyle="1" w:styleId="217">
    <w:name w:val="font161"/>
    <w:autoRedefine/>
    <w:qFormat/>
    <w:uiPriority w:val="99"/>
    <w:rPr>
      <w:b/>
      <w:bCs/>
      <w:sz w:val="32"/>
      <w:szCs w:val="32"/>
    </w:rPr>
  </w:style>
  <w:style w:type="paragraph" w:customStyle="1" w:styleId="218">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9">
    <w:name w:val="表格"/>
    <w:basedOn w:val="1"/>
    <w:autoRedefine/>
    <w:qFormat/>
    <w:uiPriority w:val="99"/>
    <w:pPr>
      <w:jc w:val="center"/>
      <w:textAlignment w:val="center"/>
    </w:pPr>
    <w:rPr>
      <w:rFonts w:ascii="华文细黑" w:hAnsi="华文细黑" w:eastAsia="宋体"/>
      <w:kern w:val="0"/>
      <w:szCs w:val="20"/>
    </w:rPr>
  </w:style>
  <w:style w:type="paragraph" w:customStyle="1" w:styleId="220">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1">
    <w:name w:val="XW正文"/>
    <w:basedOn w:val="25"/>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2">
    <w:name w:val="金安桥正文"/>
    <w:basedOn w:val="25"/>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3">
    <w:name w:val="样式 粉红"/>
    <w:autoRedefine/>
    <w:qFormat/>
    <w:uiPriority w:val="99"/>
    <w:rPr>
      <w:color w:val="auto"/>
      <w:u w:val="none"/>
    </w:rPr>
  </w:style>
  <w:style w:type="character" w:customStyle="1" w:styleId="224">
    <w:name w:val="Char Char1"/>
    <w:autoRedefine/>
    <w:qFormat/>
    <w:uiPriority w:val="0"/>
    <w:rPr>
      <w:rFonts w:eastAsia="宋体"/>
      <w:kern w:val="2"/>
      <w:sz w:val="24"/>
      <w:lang w:val="en-US" w:eastAsia="zh-CN" w:bidi="ar-SA"/>
    </w:rPr>
  </w:style>
  <w:style w:type="character" w:customStyle="1" w:styleId="225">
    <w:name w:val="纯文本 Char"/>
    <w:link w:val="30"/>
    <w:autoRedefine/>
    <w:qFormat/>
    <w:uiPriority w:val="0"/>
    <w:rPr>
      <w:rFonts w:ascii="宋体" w:hAnsi="Courier New" w:eastAsia="Arial Unicode MS" w:cs="Times New Roman"/>
      <w:kern w:val="2"/>
      <w:sz w:val="21"/>
      <w:szCs w:val="21"/>
    </w:rPr>
  </w:style>
  <w:style w:type="paragraph" w:customStyle="1" w:styleId="226">
    <w:name w:val="Char Char Char Char"/>
    <w:basedOn w:val="1"/>
    <w:autoRedefine/>
    <w:qFormat/>
    <w:uiPriority w:val="0"/>
    <w:pPr>
      <w:widowControl/>
      <w:spacing w:after="160" w:line="240" w:lineRule="exact"/>
      <w:jc w:val="left"/>
    </w:pPr>
    <w:rPr>
      <w:rFonts w:eastAsia="宋体"/>
      <w:szCs w:val="20"/>
    </w:rPr>
  </w:style>
  <w:style w:type="paragraph" w:customStyle="1" w:styleId="227">
    <w:name w:val="p17"/>
    <w:basedOn w:val="1"/>
    <w:autoRedefine/>
    <w:qFormat/>
    <w:uiPriority w:val="99"/>
    <w:pPr>
      <w:widowControl/>
    </w:pPr>
    <w:rPr>
      <w:rFonts w:eastAsia="宋体"/>
      <w:kern w:val="0"/>
      <w:szCs w:val="21"/>
    </w:rPr>
  </w:style>
  <w:style w:type="character" w:customStyle="1" w:styleId="228">
    <w:name w:val="H4 Char"/>
    <w:autoRedefine/>
    <w:qFormat/>
    <w:uiPriority w:val="0"/>
    <w:rPr>
      <w:b/>
      <w:sz w:val="28"/>
    </w:rPr>
  </w:style>
  <w:style w:type="character" w:customStyle="1" w:styleId="229">
    <w:name w:val="Char Char2"/>
    <w:autoRedefine/>
    <w:qFormat/>
    <w:uiPriority w:val="0"/>
    <w:rPr>
      <w:rFonts w:eastAsia="宋体"/>
      <w:kern w:val="2"/>
      <w:sz w:val="24"/>
      <w:lang w:val="en-US" w:eastAsia="zh-CN" w:bidi="ar-SA"/>
    </w:rPr>
  </w:style>
  <w:style w:type="character" w:customStyle="1" w:styleId="230">
    <w:name w:val="Char Char111"/>
    <w:autoRedefine/>
    <w:qFormat/>
    <w:uiPriority w:val="99"/>
    <w:rPr>
      <w:rFonts w:eastAsia="宋体"/>
      <w:kern w:val="2"/>
      <w:sz w:val="24"/>
      <w:lang w:val="en-US" w:eastAsia="zh-CN" w:bidi="ar-SA"/>
    </w:rPr>
  </w:style>
  <w:style w:type="paragraph" w:customStyle="1" w:styleId="231">
    <w:name w:val="Char Char Char Char111"/>
    <w:basedOn w:val="1"/>
    <w:autoRedefine/>
    <w:qFormat/>
    <w:uiPriority w:val="0"/>
    <w:pPr>
      <w:widowControl/>
      <w:spacing w:after="160" w:line="240" w:lineRule="exact"/>
      <w:jc w:val="left"/>
    </w:pPr>
    <w:rPr>
      <w:rFonts w:eastAsia="宋体"/>
      <w:szCs w:val="20"/>
    </w:rPr>
  </w:style>
  <w:style w:type="paragraph" w:customStyle="1" w:styleId="232">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5">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3">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4">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章标题"/>
    <w:next w:val="1"/>
    <w:link w:val="252"/>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6">
    <w:name w:val="一级条标题"/>
    <w:basedOn w:val="245"/>
    <w:next w:val="1"/>
    <w:link w:val="253"/>
    <w:autoRedefine/>
    <w:qFormat/>
    <w:uiPriority w:val="0"/>
    <w:pPr>
      <w:numPr>
        <w:ilvl w:val="2"/>
      </w:numPr>
      <w:tabs>
        <w:tab w:val="left" w:pos="360"/>
      </w:tabs>
      <w:spacing w:beforeLines="0" w:afterLines="0"/>
      <w:ind w:left="315"/>
      <w:outlineLvl w:val="2"/>
    </w:pPr>
  </w:style>
  <w:style w:type="paragraph" w:customStyle="1" w:styleId="247">
    <w:name w:val="二级条标题"/>
    <w:basedOn w:val="246"/>
    <w:next w:val="1"/>
    <w:link w:val="254"/>
    <w:autoRedefine/>
    <w:qFormat/>
    <w:uiPriority w:val="0"/>
    <w:pPr>
      <w:numPr>
        <w:ilvl w:val="3"/>
      </w:numPr>
      <w:ind w:left="315"/>
      <w:outlineLvl w:val="3"/>
    </w:pPr>
  </w:style>
  <w:style w:type="paragraph" w:customStyle="1" w:styleId="248">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9">
    <w:name w:val="三级条标题"/>
    <w:basedOn w:val="247"/>
    <w:next w:val="1"/>
    <w:autoRedefine/>
    <w:qFormat/>
    <w:uiPriority w:val="0"/>
    <w:pPr>
      <w:numPr>
        <w:ilvl w:val="4"/>
      </w:numPr>
      <w:tabs>
        <w:tab w:val="left" w:pos="1680"/>
        <w:tab w:val="left" w:pos="2100"/>
      </w:tabs>
      <w:ind w:left="2100" w:hanging="420"/>
      <w:outlineLvl w:val="4"/>
    </w:pPr>
  </w:style>
  <w:style w:type="paragraph" w:customStyle="1" w:styleId="250">
    <w:name w:val="四级条标题"/>
    <w:basedOn w:val="249"/>
    <w:next w:val="1"/>
    <w:autoRedefine/>
    <w:qFormat/>
    <w:uiPriority w:val="0"/>
    <w:pPr>
      <w:numPr>
        <w:ilvl w:val="5"/>
      </w:numPr>
      <w:tabs>
        <w:tab w:val="left" w:pos="2520"/>
      </w:tabs>
      <w:ind w:left="2520" w:hanging="420"/>
      <w:outlineLvl w:val="5"/>
    </w:pPr>
  </w:style>
  <w:style w:type="paragraph" w:customStyle="1" w:styleId="251">
    <w:name w:val="五级条标题"/>
    <w:basedOn w:val="250"/>
    <w:next w:val="1"/>
    <w:autoRedefine/>
    <w:qFormat/>
    <w:uiPriority w:val="0"/>
    <w:pPr>
      <w:numPr>
        <w:ilvl w:val="6"/>
      </w:numPr>
      <w:tabs>
        <w:tab w:val="left" w:pos="2940"/>
      </w:tabs>
      <w:ind w:left="2940" w:hanging="420"/>
      <w:outlineLvl w:val="6"/>
    </w:pPr>
  </w:style>
  <w:style w:type="character" w:customStyle="1" w:styleId="252">
    <w:name w:val="章标题 Char"/>
    <w:link w:val="245"/>
    <w:autoRedefine/>
    <w:qFormat/>
    <w:uiPriority w:val="0"/>
    <w:rPr>
      <w:rFonts w:ascii="黑体" w:eastAsia="黑体"/>
      <w:sz w:val="21"/>
    </w:rPr>
  </w:style>
  <w:style w:type="character" w:customStyle="1" w:styleId="253">
    <w:name w:val="一级条标题 Char"/>
    <w:link w:val="246"/>
    <w:autoRedefine/>
    <w:qFormat/>
    <w:uiPriority w:val="0"/>
    <w:rPr>
      <w:rFonts w:ascii="黑体" w:eastAsia="黑体"/>
      <w:sz w:val="21"/>
    </w:rPr>
  </w:style>
  <w:style w:type="character" w:customStyle="1" w:styleId="254">
    <w:name w:val="二级条标题 Char"/>
    <w:link w:val="247"/>
    <w:autoRedefine/>
    <w:qFormat/>
    <w:uiPriority w:val="0"/>
    <w:rPr>
      <w:rFonts w:ascii="黑体" w:eastAsia="黑体"/>
      <w:sz w:val="21"/>
    </w:rPr>
  </w:style>
  <w:style w:type="character" w:customStyle="1" w:styleId="255">
    <w:name w:val="Heading 1 Char"/>
    <w:autoRedefine/>
    <w:qFormat/>
    <w:locked/>
    <w:uiPriority w:val="0"/>
    <w:rPr>
      <w:rFonts w:ascii="黑体" w:hAnsi="Times New Roman" w:eastAsia="黑体" w:cs="Times New Roman"/>
      <w:kern w:val="0"/>
      <w:sz w:val="20"/>
      <w:szCs w:val="20"/>
    </w:rPr>
  </w:style>
  <w:style w:type="character" w:customStyle="1" w:styleId="256">
    <w:name w:val="Heading 2 Char"/>
    <w:autoRedefine/>
    <w:qFormat/>
    <w:locked/>
    <w:uiPriority w:val="0"/>
    <w:rPr>
      <w:rFonts w:ascii="Times New Roman" w:hAnsi="Times New Roman" w:eastAsia="宋体" w:cs="Times New Roman"/>
      <w:b/>
      <w:kern w:val="0"/>
      <w:sz w:val="32"/>
      <w:szCs w:val="32"/>
    </w:rPr>
  </w:style>
  <w:style w:type="character" w:customStyle="1" w:styleId="257">
    <w:name w:val="标题 3 Char1"/>
    <w:autoRedefine/>
    <w:qFormat/>
    <w:locked/>
    <w:uiPriority w:val="99"/>
    <w:rPr>
      <w:rFonts w:eastAsia="宋体"/>
      <w:b/>
      <w:sz w:val="32"/>
      <w:lang w:val="en-US" w:eastAsia="zh-CN" w:bidi="ar-SA"/>
    </w:rPr>
  </w:style>
  <w:style w:type="character" w:customStyle="1" w:styleId="258">
    <w:name w:val="Heading 4 Char"/>
    <w:autoRedefine/>
    <w:qFormat/>
    <w:locked/>
    <w:uiPriority w:val="0"/>
    <w:rPr>
      <w:rFonts w:ascii="Times New Roman" w:hAnsi="Times New Roman" w:eastAsia="宋体" w:cs="Times New Roman"/>
      <w:b/>
      <w:kern w:val="0"/>
      <w:sz w:val="20"/>
      <w:szCs w:val="20"/>
    </w:rPr>
  </w:style>
  <w:style w:type="character" w:customStyle="1" w:styleId="259">
    <w:name w:val="Heading 5 Char"/>
    <w:autoRedefine/>
    <w:qFormat/>
    <w:locked/>
    <w:uiPriority w:val="0"/>
    <w:rPr>
      <w:rFonts w:ascii="Times New Roman" w:hAnsi="Times New Roman" w:eastAsia="宋体" w:cs="Times New Roman"/>
      <w:b/>
      <w:bCs/>
      <w:sz w:val="28"/>
      <w:szCs w:val="28"/>
    </w:rPr>
  </w:style>
  <w:style w:type="character" w:customStyle="1" w:styleId="260">
    <w:name w:val="Heading 6 Char"/>
    <w:autoRedefine/>
    <w:qFormat/>
    <w:locked/>
    <w:uiPriority w:val="0"/>
    <w:rPr>
      <w:rFonts w:ascii="Arial" w:hAnsi="Arial" w:eastAsia="黑体" w:cs="Times New Roman"/>
      <w:b/>
      <w:bCs/>
      <w:kern w:val="0"/>
      <w:sz w:val="24"/>
      <w:szCs w:val="24"/>
    </w:rPr>
  </w:style>
  <w:style w:type="character" w:customStyle="1" w:styleId="261">
    <w:name w:val="Heading 7 Char"/>
    <w:autoRedefine/>
    <w:qFormat/>
    <w:locked/>
    <w:uiPriority w:val="0"/>
    <w:rPr>
      <w:rFonts w:ascii="Times New Roman" w:hAnsi="Times New Roman" w:eastAsia="宋体" w:cs="Times New Roman"/>
      <w:b/>
      <w:bCs/>
      <w:kern w:val="0"/>
      <w:sz w:val="24"/>
      <w:szCs w:val="24"/>
    </w:rPr>
  </w:style>
  <w:style w:type="character" w:customStyle="1" w:styleId="262">
    <w:name w:val="Heading 8 Char"/>
    <w:autoRedefine/>
    <w:qFormat/>
    <w:locked/>
    <w:uiPriority w:val="0"/>
    <w:rPr>
      <w:rFonts w:ascii="Arial" w:hAnsi="Arial" w:eastAsia="黑体" w:cs="Times New Roman"/>
      <w:kern w:val="0"/>
      <w:sz w:val="24"/>
      <w:szCs w:val="24"/>
    </w:rPr>
  </w:style>
  <w:style w:type="character" w:customStyle="1" w:styleId="263">
    <w:name w:val="Heading 9 Char"/>
    <w:autoRedefine/>
    <w:qFormat/>
    <w:locked/>
    <w:uiPriority w:val="0"/>
    <w:rPr>
      <w:rFonts w:ascii="Arial" w:hAnsi="Arial" w:eastAsia="黑体" w:cs="Times New Roman"/>
      <w:kern w:val="0"/>
      <w:sz w:val="21"/>
      <w:szCs w:val="21"/>
    </w:rPr>
  </w:style>
  <w:style w:type="character" w:customStyle="1" w:styleId="264">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5">
    <w:name w:val="Date Char"/>
    <w:autoRedefine/>
    <w:qFormat/>
    <w:locked/>
    <w:uiPriority w:val="0"/>
    <w:rPr>
      <w:rFonts w:ascii="Times New Roman" w:hAnsi="Times New Roman" w:eastAsia="宋体" w:cs="Times New Roman"/>
      <w:sz w:val="20"/>
      <w:szCs w:val="20"/>
    </w:rPr>
  </w:style>
  <w:style w:type="character" w:customStyle="1" w:styleId="266">
    <w:name w:val="Header Char"/>
    <w:autoRedefine/>
    <w:qFormat/>
    <w:locked/>
    <w:uiPriority w:val="0"/>
    <w:rPr>
      <w:rFonts w:ascii="Times New Roman" w:hAnsi="Times New Roman" w:eastAsia="宋体" w:cs="Times New Roman"/>
      <w:kern w:val="0"/>
      <w:sz w:val="20"/>
      <w:szCs w:val="20"/>
    </w:rPr>
  </w:style>
  <w:style w:type="character" w:customStyle="1" w:styleId="267">
    <w:name w:val="Footer Char"/>
    <w:autoRedefine/>
    <w:qFormat/>
    <w:locked/>
    <w:uiPriority w:val="0"/>
    <w:rPr>
      <w:rFonts w:ascii="Times New Roman" w:hAnsi="Times New Roman" w:eastAsia="宋体" w:cs="Times New Roman"/>
      <w:kern w:val="0"/>
      <w:sz w:val="20"/>
      <w:szCs w:val="20"/>
    </w:rPr>
  </w:style>
  <w:style w:type="character" w:customStyle="1" w:styleId="268">
    <w:name w:val="Plain Text Char"/>
    <w:autoRedefine/>
    <w:qFormat/>
    <w:locked/>
    <w:uiPriority w:val="0"/>
    <w:rPr>
      <w:rFonts w:ascii="宋体" w:hAnsi="Courier New" w:eastAsia="宋体" w:cs="Times New Roman"/>
      <w:sz w:val="20"/>
      <w:szCs w:val="20"/>
    </w:rPr>
  </w:style>
  <w:style w:type="character" w:customStyle="1" w:styleId="269">
    <w:name w:val="Body Text Indent 2 Char"/>
    <w:autoRedefine/>
    <w:qFormat/>
    <w:locked/>
    <w:uiPriority w:val="0"/>
    <w:rPr>
      <w:rFonts w:ascii="Times New Roman" w:hAnsi="Times New Roman" w:eastAsia="宋体" w:cs="Times New Roman"/>
      <w:sz w:val="30"/>
      <w:szCs w:val="30"/>
    </w:rPr>
  </w:style>
  <w:style w:type="character" w:customStyle="1" w:styleId="270">
    <w:name w:val="Body Text Indent 3 Char"/>
    <w:autoRedefine/>
    <w:qFormat/>
    <w:locked/>
    <w:uiPriority w:val="0"/>
    <w:rPr>
      <w:rFonts w:ascii="Times New Roman" w:hAnsi="Times New Roman" w:eastAsia="宋体" w:cs="Times New Roman"/>
      <w:sz w:val="30"/>
      <w:szCs w:val="30"/>
    </w:rPr>
  </w:style>
  <w:style w:type="character" w:customStyle="1" w:styleId="271">
    <w:name w:val="Body Text First Indent 2 Char"/>
    <w:autoRedefine/>
    <w:qFormat/>
    <w:locked/>
    <w:uiPriority w:val="0"/>
    <w:rPr>
      <w:rFonts w:ascii="Times New Roman" w:hAnsi="Times New Roman" w:eastAsia="宋体" w:cs="Times New Roman"/>
      <w:kern w:val="2"/>
      <w:sz w:val="24"/>
      <w:szCs w:val="24"/>
    </w:rPr>
  </w:style>
  <w:style w:type="character" w:customStyle="1" w:styleId="272">
    <w:name w:val="Body Text 2 Char"/>
    <w:autoRedefine/>
    <w:qFormat/>
    <w:locked/>
    <w:uiPriority w:val="0"/>
    <w:rPr>
      <w:rFonts w:ascii="宋体" w:hAnsi="Times New Roman" w:eastAsia="宋体" w:cs="Times New Roman"/>
      <w:sz w:val="20"/>
      <w:szCs w:val="20"/>
    </w:rPr>
  </w:style>
  <w:style w:type="character" w:customStyle="1" w:styleId="273">
    <w:name w:val="Balloon Text Char"/>
    <w:autoRedefine/>
    <w:qFormat/>
    <w:locked/>
    <w:uiPriority w:val="0"/>
    <w:rPr>
      <w:rFonts w:ascii="Times New Roman" w:hAnsi="Times New Roman" w:eastAsia="宋体" w:cs="Times New Roman"/>
      <w:sz w:val="18"/>
      <w:szCs w:val="18"/>
    </w:rPr>
  </w:style>
  <w:style w:type="character" w:customStyle="1" w:styleId="274">
    <w:name w:val="Salutation Char"/>
    <w:autoRedefine/>
    <w:qFormat/>
    <w:locked/>
    <w:uiPriority w:val="0"/>
    <w:rPr>
      <w:rFonts w:ascii="..ì." w:hAnsi="Times New Roman" w:eastAsia="..ì." w:cs="Times New Roman"/>
      <w:kern w:val="0"/>
      <w:sz w:val="20"/>
      <w:szCs w:val="20"/>
    </w:rPr>
  </w:style>
  <w:style w:type="character" w:customStyle="1" w:styleId="275">
    <w:name w:val="Note Heading Char"/>
    <w:autoRedefine/>
    <w:qFormat/>
    <w:locked/>
    <w:uiPriority w:val="0"/>
    <w:rPr>
      <w:rFonts w:ascii="..ì." w:hAnsi="Times New Roman" w:eastAsia="..ì." w:cs="Times New Roman"/>
      <w:kern w:val="0"/>
      <w:sz w:val="20"/>
      <w:szCs w:val="20"/>
    </w:rPr>
  </w:style>
  <w:style w:type="paragraph" w:customStyle="1" w:styleId="276">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7">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8">
    <w:name w:val="Body Text 3 Char"/>
    <w:autoRedefine/>
    <w:qFormat/>
    <w:locked/>
    <w:uiPriority w:val="0"/>
    <w:rPr>
      <w:rFonts w:ascii="Times New Roman" w:hAnsi="Times New Roman" w:eastAsia="宋体" w:cs="Times New Roman"/>
      <w:sz w:val="16"/>
      <w:szCs w:val="16"/>
    </w:rPr>
  </w:style>
  <w:style w:type="character" w:customStyle="1" w:styleId="279">
    <w:name w:val="Title Char"/>
    <w:autoRedefine/>
    <w:qFormat/>
    <w:locked/>
    <w:uiPriority w:val="0"/>
    <w:rPr>
      <w:rFonts w:ascii="Arial" w:hAnsi="Arial" w:eastAsia="宋体" w:cs="Times New Roman"/>
      <w:b/>
      <w:kern w:val="0"/>
      <w:sz w:val="20"/>
      <w:szCs w:val="20"/>
    </w:rPr>
  </w:style>
  <w:style w:type="character" w:customStyle="1" w:styleId="280">
    <w:name w:val="Comment Subject Char"/>
    <w:autoRedefine/>
    <w:qFormat/>
    <w:locked/>
    <w:uiPriority w:val="0"/>
    <w:rPr>
      <w:rFonts w:ascii="Times New Roman" w:hAnsi="Times New Roman" w:eastAsia="宋体" w:cs="Times New Roman"/>
      <w:b/>
      <w:bCs/>
      <w:sz w:val="24"/>
      <w:szCs w:val="24"/>
    </w:rPr>
  </w:style>
  <w:style w:type="character" w:customStyle="1" w:styleId="281">
    <w:name w:val="Comment Text Char"/>
    <w:autoRedefine/>
    <w:qFormat/>
    <w:locked/>
    <w:uiPriority w:val="0"/>
    <w:rPr>
      <w:rFonts w:ascii="Times New Roman" w:hAnsi="Times New Roman" w:eastAsia="宋体"/>
      <w:sz w:val="24"/>
    </w:rPr>
  </w:style>
  <w:style w:type="paragraph" w:customStyle="1" w:styleId="282">
    <w:name w:val="List Paragraph1"/>
    <w:basedOn w:val="1"/>
    <w:autoRedefine/>
    <w:qFormat/>
    <w:uiPriority w:val="0"/>
    <w:pPr>
      <w:ind w:firstLine="420" w:firstLineChars="200"/>
    </w:pPr>
    <w:rPr>
      <w:rFonts w:eastAsia="宋体"/>
    </w:rPr>
  </w:style>
  <w:style w:type="paragraph" w:customStyle="1" w:styleId="283">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4">
    <w:name w:val="未处理的提及"/>
    <w:autoRedefine/>
    <w:unhideWhenUsed/>
    <w:qFormat/>
    <w:uiPriority w:val="99"/>
    <w:rPr>
      <w:color w:val="605E5C"/>
      <w:shd w:val="clear" w:color="auto" w:fill="E1DFDD"/>
    </w:rPr>
  </w:style>
  <w:style w:type="character" w:customStyle="1" w:styleId="285">
    <w:name w:val="Char Char11"/>
    <w:autoRedefine/>
    <w:qFormat/>
    <w:uiPriority w:val="99"/>
    <w:rPr>
      <w:rFonts w:eastAsia="宋体"/>
      <w:kern w:val="2"/>
      <w:sz w:val="24"/>
      <w:lang w:val="en-US" w:eastAsia="zh-CN"/>
    </w:rPr>
  </w:style>
  <w:style w:type="character" w:customStyle="1" w:styleId="286">
    <w:name w:val="正文文本 Char1"/>
    <w:autoRedefine/>
    <w:semiHidden/>
    <w:qFormat/>
    <w:uiPriority w:val="0"/>
    <w:rPr>
      <w:rFonts w:ascii="Times New Roman" w:hAnsi="Times New Roman" w:eastAsia="宋体" w:cs="Times New Roman"/>
      <w:szCs w:val="24"/>
    </w:rPr>
  </w:style>
  <w:style w:type="paragraph" w:customStyle="1" w:styleId="287">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11"/>
    <w:basedOn w:val="1"/>
    <w:autoRedefine/>
    <w:qFormat/>
    <w:uiPriority w:val="99"/>
    <w:rPr>
      <w:rFonts w:ascii="Tahoma" w:hAnsi="Tahoma" w:eastAsia="宋体"/>
      <w:sz w:val="24"/>
      <w:szCs w:val="20"/>
    </w:rPr>
  </w:style>
  <w:style w:type="paragraph" w:customStyle="1" w:styleId="289">
    <w:name w:val="Char Char Char Char1"/>
    <w:basedOn w:val="1"/>
    <w:autoRedefine/>
    <w:qFormat/>
    <w:uiPriority w:val="99"/>
    <w:pPr>
      <w:widowControl/>
      <w:spacing w:after="160" w:line="240" w:lineRule="exact"/>
      <w:jc w:val="left"/>
    </w:pPr>
    <w:rPr>
      <w:rFonts w:eastAsia="宋体"/>
      <w:szCs w:val="20"/>
    </w:rPr>
  </w:style>
  <w:style w:type="paragraph" w:customStyle="1" w:styleId="290">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1">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11"/>
    <w:basedOn w:val="1"/>
    <w:autoRedefine/>
    <w:qFormat/>
    <w:uiPriority w:val="99"/>
    <w:pPr>
      <w:widowControl/>
      <w:spacing w:after="160" w:line="240" w:lineRule="exact"/>
      <w:jc w:val="left"/>
    </w:pPr>
    <w:rPr>
      <w:rFonts w:eastAsia="宋体"/>
      <w:szCs w:val="20"/>
    </w:rPr>
  </w:style>
  <w:style w:type="paragraph" w:customStyle="1" w:styleId="293">
    <w:name w:val="Char12"/>
    <w:basedOn w:val="1"/>
    <w:autoRedefine/>
    <w:qFormat/>
    <w:uiPriority w:val="99"/>
    <w:rPr>
      <w:rFonts w:ascii="Tahoma" w:hAnsi="Tahoma" w:eastAsia="宋体"/>
      <w:sz w:val="24"/>
      <w:szCs w:val="20"/>
    </w:rPr>
  </w:style>
  <w:style w:type="paragraph" w:customStyle="1" w:styleId="294">
    <w:name w:val="Char111"/>
    <w:basedOn w:val="1"/>
    <w:autoRedefine/>
    <w:qFormat/>
    <w:uiPriority w:val="99"/>
    <w:rPr>
      <w:rFonts w:ascii="Tahoma" w:hAnsi="Tahoma" w:eastAsia="宋体"/>
      <w:sz w:val="24"/>
      <w:szCs w:val="20"/>
    </w:rPr>
  </w:style>
  <w:style w:type="paragraph" w:customStyle="1" w:styleId="295">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 Char Char Char2"/>
    <w:basedOn w:val="1"/>
    <w:autoRedefine/>
    <w:qFormat/>
    <w:uiPriority w:val="99"/>
    <w:pPr>
      <w:widowControl/>
      <w:spacing w:after="160" w:line="240" w:lineRule="exact"/>
      <w:jc w:val="left"/>
    </w:pPr>
    <w:rPr>
      <w:rFonts w:eastAsia="宋体"/>
      <w:szCs w:val="20"/>
    </w:rPr>
  </w:style>
  <w:style w:type="character" w:customStyle="1" w:styleId="297">
    <w:name w:val="正文文本 字符"/>
    <w:autoRedefine/>
    <w:qFormat/>
    <w:uiPriority w:val="0"/>
    <w:rPr>
      <w:b/>
      <w:i/>
      <w:szCs w:val="24"/>
    </w:rPr>
  </w:style>
  <w:style w:type="paragraph" w:customStyle="1" w:styleId="298">
    <w:name w:val="纯文本2"/>
    <w:basedOn w:val="1"/>
    <w:autoRedefine/>
    <w:qFormat/>
    <w:uiPriority w:val="0"/>
    <w:rPr>
      <w:rFonts w:ascii="宋体" w:hAnsi="Courier New" w:cs="Courier New"/>
      <w:szCs w:val="21"/>
    </w:rPr>
  </w:style>
  <w:style w:type="paragraph" w:customStyle="1" w:styleId="299">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0">
    <w:name w:val="HTML 预设格式 Char"/>
    <w:basedOn w:val="52"/>
    <w:link w:val="43"/>
    <w:autoRedefine/>
    <w:qFormat/>
    <w:uiPriority w:val="0"/>
    <w:rPr>
      <w:rFonts w:ascii="黑体" w:hAnsi="Courier New" w:eastAsia="黑体"/>
    </w:rPr>
  </w:style>
  <w:style w:type="paragraph" w:customStyle="1" w:styleId="301">
    <w:name w:val="表格样式居左"/>
    <w:autoRedefine/>
    <w:qFormat/>
    <w:uiPriority w:val="0"/>
    <w:pPr>
      <w:adjustRightInd w:val="0"/>
      <w:snapToGrid w:val="0"/>
      <w:spacing w:line="360" w:lineRule="exact"/>
    </w:pPr>
    <w:rPr>
      <w:rFonts w:ascii="仿宋_GB2312" w:hAnsi="Times New Roman" w:eastAsia="仿宋_GB2312" w:cs="Times New Roman"/>
      <w:bCs/>
      <w:color w:val="000000"/>
      <w:szCs w:val="44"/>
      <w:lang w:val="en-US" w:eastAsia="zh-CN" w:bidi="ar-SA"/>
    </w:rPr>
  </w:style>
  <w:style w:type="character" w:customStyle="1" w:styleId="302">
    <w:name w:val="layui-layer-tabnow"/>
    <w:basedOn w:val="52"/>
    <w:autoRedefine/>
    <w:qFormat/>
    <w:uiPriority w:val="0"/>
    <w:rPr>
      <w:bdr w:val="single" w:color="CCCCCC" w:sz="6" w:space="0"/>
      <w:shd w:val="clear" w:fill="FFFFFF"/>
    </w:rPr>
  </w:style>
  <w:style w:type="character" w:customStyle="1" w:styleId="303">
    <w:name w:val="first-child"/>
    <w:basedOn w:val="52"/>
    <w:autoRedefine/>
    <w:qFormat/>
    <w:uiPriority w:val="0"/>
  </w:style>
  <w:style w:type="paragraph" w:customStyle="1" w:styleId="304">
    <w:name w:val="正文空2格  1."/>
    <w:basedOn w:val="1"/>
    <w:autoRedefine/>
    <w:qFormat/>
    <w:uiPriority w:val="0"/>
    <w:pPr>
      <w:adjustRightInd w:val="0"/>
      <w:spacing w:line="360" w:lineRule="auto"/>
      <w:ind w:firstLine="480" w:firstLineChars="200"/>
    </w:pPr>
    <w:rPr>
      <w:rFonts w:hint="eastAsia" w:ascii="宋体" w:eastAsia="仿宋" w:cs="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1DC3A-4456-4169-AFE6-0CA037B1A24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44</Pages>
  <Words>26018</Words>
  <Characters>29270</Characters>
  <Lines>247</Lines>
  <Paragraphs>69</Paragraphs>
  <TotalTime>32</TotalTime>
  <ScaleCrop>false</ScaleCrop>
  <LinksUpToDate>false</LinksUpToDate>
  <CharactersWithSpaces>33670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腫麽辦？</cp:lastModifiedBy>
  <cp:lastPrinted>2024-04-09T00:39:00Z</cp:lastPrinted>
  <dcterms:modified xsi:type="dcterms:W3CDTF">2024-04-23T08:19:43Z</dcterms:modified>
  <dc:title>_x0001_</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2F5C36B7005B4C5DBCDE624EBBF7A109_13</vt:lpwstr>
  </property>
</Properties>
</file>