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44AA">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ACD556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SZRFYZB202412-229</w:t>
      </w:r>
    </w:p>
    <w:p w14:paraId="3DBC3CE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BC9B26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97F86A">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5A92CA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7D8320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5E0F5E4">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8BF286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D80F778">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咸阳智慧医疗平台接口改造项目</w:t>
      </w:r>
    </w:p>
    <w:p w14:paraId="33EAEBA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42FACF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072951C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F93F1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516EC23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7DBCF0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5B354D0">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CD5C53E">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648BF9C">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74CF8C5">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055066D">
      <w:pPr>
        <w:pStyle w:val="20"/>
        <w:rPr>
          <w:rFonts w:hint="eastAsia"/>
        </w:rPr>
      </w:pPr>
    </w:p>
    <w:p w14:paraId="0D7B6DA3">
      <w:pPr>
        <w:pStyle w:val="20"/>
        <w:rPr>
          <w:rFonts w:hint="eastAsia"/>
          <w:highlight w:val="none"/>
        </w:rPr>
      </w:pPr>
    </w:p>
    <w:p w14:paraId="4003D283">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4EEE7C26">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57042A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7544E5D1">
      <w:pPr>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2"/>
          <w:rFonts w:hint="eastAsia" w:ascii="宋体" w:hAnsi="宋体" w:eastAsia="宋体" w:cs="宋体"/>
          <w:b/>
          <w:color w:val="000000"/>
          <w:kern w:val="0"/>
          <w:sz w:val="24"/>
          <w:szCs w:val="24"/>
          <w:highlight w:val="none"/>
        </w:rPr>
        <w:br w:type="page"/>
      </w:r>
    </w:p>
    <w:p w14:paraId="070F994B">
      <w:pPr>
        <w:pStyle w:val="9"/>
        <w:rPr>
          <w:rFonts w:hint="eastAsia"/>
        </w:rPr>
      </w:pPr>
    </w:p>
    <w:p w14:paraId="637805E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7DB865B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3B8757F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17CE89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4D03931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7A4ED63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5CDEF9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57F9EB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4D00AD5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02751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349F90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0FE6DF4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9C2FE3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AF65C7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033042F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1EDFBB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咸阳智慧医疗平台接口改造项目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w:t>
      </w:r>
      <w:bookmarkStart w:id="64" w:name="_GoBack"/>
      <w:bookmarkEnd w:id="64"/>
      <w:r>
        <w:rPr>
          <w:rFonts w:hint="eastAsia" w:ascii="宋体" w:hAnsi="宋体" w:eastAsia="宋体" w:cs="宋体"/>
          <w:sz w:val="24"/>
          <w:szCs w:val="24"/>
          <w:highlight w:val="none"/>
          <w:lang w:eastAsia="zh-CN"/>
        </w:rPr>
        <w:t>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73A659C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68B4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咸阳智慧医疗平台接口改造项目</w:t>
      </w:r>
    </w:p>
    <w:p w14:paraId="54781D3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2BC7D13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82A95E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15</w:t>
      </w:r>
      <w:r>
        <w:rPr>
          <w:rStyle w:val="32"/>
          <w:rFonts w:hint="eastAsia" w:ascii="宋体" w:hAnsi="宋体" w:eastAsia="宋体" w:cs="宋体"/>
          <w:sz w:val="24"/>
          <w:szCs w:val="24"/>
          <w:highlight w:val="none"/>
          <w:lang w:val="en-US" w:eastAsia="zh-CN"/>
        </w:rPr>
        <w:t>万元</w:t>
      </w:r>
    </w:p>
    <w:p w14:paraId="20F763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74B2971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832464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595DCB3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3FDE204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6DB71D47">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4430BC9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4B64A9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11B124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6D884F0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408B2D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0</w:t>
      </w:r>
    </w:p>
    <w:p w14:paraId="485FB6C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A582F08">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384F2B9">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2DD6297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91E3774">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718F0EA3">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D0BA4F1">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460D0E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4C177F8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0984F9D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D500DF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sz w:val="24"/>
        </w:rPr>
        <w:t>029-33350309（乔老师）</w:t>
      </w:r>
    </w:p>
    <w:p w14:paraId="4CCC848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EF80A2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4C09EF9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6177561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46BF85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6766DC6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2334559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303D16D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6D59B5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4145225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BEBE16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37B172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760188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305BCD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518B1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8277FE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9F24BE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0924A6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B3E08E8">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A4FDDD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D96CDA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00D841AD">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A70042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6DC1554B">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kern w:val="2"/>
          <w:sz w:val="24"/>
          <w:szCs w:val="24"/>
          <w:lang w:val="en-US" w:eastAsia="zh-CN" w:bidi="ar-SA"/>
        </w:rPr>
        <w:t>一、</w:t>
      </w:r>
      <w:r>
        <w:rPr>
          <w:rFonts w:hint="eastAsia" w:ascii="宋体" w:hAnsi="宋体" w:cs="宋体"/>
          <w:b/>
          <w:bCs/>
          <w:sz w:val="24"/>
          <w:szCs w:val="24"/>
          <w:lang w:eastAsia="zh-CN"/>
        </w:rPr>
        <w:t>项目概况</w:t>
      </w:r>
    </w:p>
    <w:p w14:paraId="4B429015">
      <w:pPr>
        <w:keepNext w:val="0"/>
        <w:keepLines w:val="0"/>
        <w:pageBreakBefore w:val="0"/>
        <w:numPr>
          <w:ilvl w:val="-1"/>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随着各级卫健委等相关部门对医疗机构的信息化建设工作不断深化要求以及咸阳市医院、县区域卫生信息平台与智慧医疗资源平台进行数据对接的建设需求，陕西中医药大学第二附属医院需要对现用业务系统进行对应的改造服务，以响应政策需求和医院业务发展需求。</w:t>
      </w:r>
      <w:r>
        <w:rPr>
          <w:rFonts w:hint="eastAsia" w:ascii="宋体" w:hAnsi="宋体" w:eastAsia="宋体" w:cs="宋体"/>
          <w:sz w:val="24"/>
          <w:szCs w:val="24"/>
          <w:highlight w:val="none"/>
        </w:rPr>
        <w:t>现对医院与智慧医疗资源平台数据对接接口开发服务进行竞争性磋商采购</w:t>
      </w:r>
      <w:r>
        <w:rPr>
          <w:rFonts w:hint="eastAsia" w:ascii="宋体" w:hAnsi="宋体" w:cs="宋体"/>
          <w:sz w:val="24"/>
          <w:szCs w:val="24"/>
          <w:highlight w:val="none"/>
          <w:lang w:eastAsia="zh-CN"/>
        </w:rPr>
        <w:t>。</w:t>
      </w:r>
    </w:p>
    <w:p w14:paraId="19ED2D36">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服务要求</w:t>
      </w:r>
    </w:p>
    <w:p w14:paraId="2C946515">
      <w:pPr>
        <w:keepNext w:val="0"/>
        <w:keepLines w:val="0"/>
        <w:pageBreakBefore w:val="0"/>
        <w:numPr>
          <w:ilvl w:val="-1"/>
          <w:numId w:val="0"/>
        </w:numPr>
        <w:kinsoku/>
        <w:wordWrap/>
        <w:overflowPunct/>
        <w:topLinePunct w:val="0"/>
        <w:autoSpaceDE/>
        <w:autoSpaceDN/>
        <w:bidi w:val="0"/>
        <w:snapToGrid/>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kern w:val="2"/>
          <w:sz w:val="24"/>
          <w:szCs w:val="24"/>
          <w:lang w:val="en-US" w:eastAsia="zh-CN" w:bidi="ar-SA"/>
        </w:rPr>
        <w:t>（一）总体要求</w:t>
      </w:r>
    </w:p>
    <w:p w14:paraId="7D5D1739">
      <w:pPr>
        <w:keepNext w:val="0"/>
        <w:keepLines w:val="0"/>
        <w:pageBreakBefore w:val="0"/>
        <w:numPr>
          <w:ilvl w:val="-1"/>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规范/标准要求：接口服务需遵循对应的接口规范文档。 </w:t>
      </w:r>
    </w:p>
    <w:p w14:paraId="3237DC62">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稳定性要求：确保提供接口能与医院的系统实现连续稳定可靠地运行，以支持医院的业务运行。 </w:t>
      </w:r>
    </w:p>
    <w:p w14:paraId="4F080C11">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高可用性要求：为保证接口服务的高可用性，要求接口服务必须与医院的系统实现数据、操作界面的无缝对接。 </w:t>
      </w:r>
    </w:p>
    <w:p w14:paraId="1D219075">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兼容性要求：要求提供的接口服务具有良好的兼容性，能满足医院的业务需求，并且不能</w:t>
      </w:r>
      <w:r>
        <w:rPr>
          <w:rFonts w:hint="eastAsia" w:ascii="宋体" w:hAnsi="宋体" w:cs="宋体"/>
          <w:sz w:val="24"/>
          <w:szCs w:val="24"/>
          <w:highlight w:val="none"/>
          <w:lang w:eastAsia="zh-CN"/>
        </w:rPr>
        <w:t>影响</w:t>
      </w:r>
      <w:r>
        <w:rPr>
          <w:rFonts w:hint="eastAsia" w:ascii="宋体" w:hAnsi="宋体" w:eastAsia="宋体" w:cs="宋体"/>
          <w:sz w:val="24"/>
          <w:szCs w:val="24"/>
          <w:highlight w:val="none"/>
        </w:rPr>
        <w:t>医院</w:t>
      </w:r>
      <w:r>
        <w:rPr>
          <w:rFonts w:hint="eastAsia" w:ascii="宋体" w:hAnsi="宋体" w:cs="宋体"/>
          <w:sz w:val="24"/>
          <w:szCs w:val="24"/>
          <w:highlight w:val="none"/>
          <w:lang w:eastAsia="zh-CN"/>
        </w:rPr>
        <w:t>现行</w:t>
      </w:r>
      <w:r>
        <w:rPr>
          <w:rFonts w:hint="eastAsia" w:ascii="宋体" w:hAnsi="宋体" w:eastAsia="宋体" w:cs="宋体"/>
          <w:sz w:val="24"/>
          <w:szCs w:val="24"/>
          <w:highlight w:val="none"/>
        </w:rPr>
        <w:t xml:space="preserve">信息系统的运行。 </w:t>
      </w:r>
    </w:p>
    <w:p w14:paraId="3393BFE8">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服务要求：按照医院的需求提供接口服务，包括但不限于具体要求中已明确的接口服务。 </w:t>
      </w:r>
    </w:p>
    <w:p w14:paraId="57CDE50A">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为保证系统的稳定性、可用性、兼容性，需要医院现用业务系统（包括但不限于：HIS 系统、临床系统、LIS 系统）配合进行数据联调和业务系统改造服务；由此产生的业务系统对接改造费用已包含在本项目预算中，须由本项目成交供应商承担，采购人不额外支付</w:t>
      </w:r>
      <w:r>
        <w:rPr>
          <w:rFonts w:hint="eastAsia" w:ascii="宋体" w:hAnsi="宋体" w:cs="宋体"/>
          <w:sz w:val="24"/>
          <w:szCs w:val="24"/>
          <w:highlight w:val="none"/>
          <w:lang w:eastAsia="zh-CN"/>
        </w:rPr>
        <w:t>任何</w:t>
      </w:r>
      <w:r>
        <w:rPr>
          <w:rFonts w:hint="eastAsia" w:ascii="宋体" w:hAnsi="宋体" w:eastAsia="宋体" w:cs="宋体"/>
          <w:sz w:val="24"/>
          <w:szCs w:val="24"/>
          <w:highlight w:val="none"/>
        </w:rPr>
        <w:t>改造费用。</w:t>
      </w:r>
    </w:p>
    <w:p w14:paraId="65B2ED29">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具体要求</w:t>
      </w:r>
    </w:p>
    <w:p w14:paraId="71D0D262">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highlight w:val="none"/>
        </w:rPr>
      </w:pPr>
      <w:r>
        <w:rPr>
          <w:rFonts w:hint="default" w:ascii="宋体" w:hAnsi="宋体" w:eastAsia="宋体" w:cs="宋体"/>
          <w:b/>
          <w:bCs/>
          <w:kern w:val="2"/>
          <w:sz w:val="24"/>
          <w:szCs w:val="24"/>
          <w:highlight w:val="none"/>
          <w:lang w:val="en-US" w:eastAsia="zh-CN" w:bidi="ar-SA"/>
        </w:rPr>
        <w:t>1．</w:t>
      </w:r>
      <w:r>
        <w:rPr>
          <w:rFonts w:hint="eastAsia" w:ascii="宋体" w:hAnsi="宋体" w:eastAsia="宋体" w:cs="宋体"/>
          <w:b/>
          <w:sz w:val="24"/>
          <w:szCs w:val="24"/>
          <w:highlight w:val="none"/>
        </w:rPr>
        <w:t>数据内容：</w:t>
      </w:r>
      <w:r>
        <w:rPr>
          <w:rFonts w:hint="eastAsia" w:ascii="宋体" w:hAnsi="宋体" w:eastAsia="宋体" w:cs="宋体"/>
          <w:bCs/>
          <w:sz w:val="24"/>
          <w:szCs w:val="24"/>
          <w:highlight w:val="none"/>
        </w:rPr>
        <w:t>数据内容主要包括结构化数据和非结构化数据，文件的命名要求机构内唯一。</w:t>
      </w:r>
    </w:p>
    <w:p w14:paraId="280969DD">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2</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结构化数据：</w:t>
      </w:r>
    </w:p>
    <w:p w14:paraId="5249A4E2">
      <w:pPr>
        <w:pStyle w:val="45"/>
        <w:keepNext w:val="0"/>
        <w:keepLines w:val="0"/>
        <w:pageBreakBefore w:val="0"/>
        <w:kinsoku/>
        <w:wordWrap/>
        <w:overflowPunct/>
        <w:topLinePunct w:val="0"/>
        <w:autoSpaceDE/>
        <w:autoSpaceDN/>
        <w:bidi w:val="0"/>
        <w:snapToGrid/>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结构化数据内容主要分为五部分：住院、门诊、体检、会诊记录、转诊记录、死亡报告、分娩记录；</w:t>
      </w:r>
    </w:p>
    <w:p w14:paraId="3CE03D6B">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住院数据包括：</w:t>
      </w:r>
      <w:r>
        <w:rPr>
          <w:rFonts w:hint="eastAsia" w:ascii="宋体" w:hAnsi="宋体" w:eastAsia="宋体" w:cs="宋体"/>
          <w:sz w:val="24"/>
          <w:szCs w:val="24"/>
        </w:rPr>
        <w:t>住院病案首页、医嘱明细、出院小结、手术记录、转科记录、放射治疗记录、输血记录、实验室检查记录、影像记录、血清学检查、住院病人结算主表、住院病人费用明细库、住院病人结算明细库；</w:t>
      </w:r>
    </w:p>
    <w:p w14:paraId="1DBAAE99">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门诊数据包括：</w:t>
      </w:r>
      <w:r>
        <w:rPr>
          <w:rFonts w:hint="eastAsia" w:ascii="宋体" w:hAnsi="宋体" w:eastAsia="宋体" w:cs="宋体"/>
          <w:sz w:val="24"/>
          <w:szCs w:val="24"/>
        </w:rPr>
        <w:t>门诊病案首页、处方明细、输血记录、手术记录、实验室检查记录、放射治疗记录、影像记录、血清学检查、门诊收费主表、门诊收费明细、门诊费用结算信息；</w:t>
      </w:r>
    </w:p>
    <w:p w14:paraId="68A06AAD">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体检数据包括：</w:t>
      </w:r>
      <w:r>
        <w:rPr>
          <w:rFonts w:hint="eastAsia" w:ascii="宋体" w:hAnsi="宋体" w:eastAsia="宋体" w:cs="宋体"/>
          <w:sz w:val="24"/>
          <w:szCs w:val="24"/>
        </w:rPr>
        <w:t>体检登记及评价、实验室检查记录、影像记录、血清学检查、体检收费主表、体检收费明细、体检费用结算信息；</w:t>
      </w:r>
    </w:p>
    <w:p w14:paraId="17DDC9C9">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会诊记录包括：</w:t>
      </w:r>
      <w:r>
        <w:rPr>
          <w:rFonts w:hint="eastAsia" w:ascii="宋体" w:hAnsi="宋体" w:eastAsia="宋体" w:cs="宋体"/>
          <w:sz w:val="24"/>
          <w:szCs w:val="24"/>
        </w:rPr>
        <w:t>居民会诊的相关信息；</w:t>
      </w:r>
    </w:p>
    <w:p w14:paraId="3A1608D8">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转诊记录包括：</w:t>
      </w:r>
      <w:r>
        <w:rPr>
          <w:rFonts w:hint="eastAsia" w:ascii="宋体" w:hAnsi="宋体" w:eastAsia="宋体" w:cs="宋体"/>
          <w:sz w:val="24"/>
          <w:szCs w:val="24"/>
        </w:rPr>
        <w:t>居民转诊的相关信息；</w:t>
      </w:r>
    </w:p>
    <w:p w14:paraId="2CD4B75A">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val="0"/>
          <w:sz w:val="24"/>
          <w:szCs w:val="24"/>
        </w:rPr>
        <w:t>居民死亡报告包括：</w:t>
      </w:r>
      <w:r>
        <w:rPr>
          <w:rFonts w:hint="eastAsia" w:ascii="宋体" w:hAnsi="宋体" w:eastAsia="宋体" w:cs="宋体"/>
          <w:sz w:val="24"/>
          <w:szCs w:val="24"/>
        </w:rPr>
        <w:t>居民死亡报告卡信息、孕产妇死亡副卡信息、儿童死亡副卡；</w:t>
      </w:r>
    </w:p>
    <w:p w14:paraId="43F4E865">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t>分娩记录包括：</w:t>
      </w:r>
      <w:r>
        <w:rPr>
          <w:rFonts w:hint="eastAsia" w:ascii="宋体" w:hAnsi="宋体" w:eastAsia="宋体" w:cs="宋体"/>
          <w:sz w:val="24"/>
          <w:szCs w:val="24"/>
          <w:highlight w:val="none"/>
        </w:rPr>
        <w:t>产妇分娩信息和新生儿信息；</w:t>
      </w:r>
    </w:p>
    <w:p w14:paraId="6A4ADAF1">
      <w:pPr>
        <w:keepNext w:val="0"/>
        <w:keepLines w:val="0"/>
        <w:pageBreakBefore w:val="0"/>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Cs/>
          <w:iCs/>
          <w:sz w:val="24"/>
          <w:szCs w:val="24"/>
        </w:rPr>
      </w:pPr>
      <w:r>
        <w:rPr>
          <w:rFonts w:hint="eastAsia" w:ascii="宋体" w:hAnsi="宋体" w:eastAsia="宋体" w:cs="宋体"/>
          <w:b/>
          <w:iCs/>
          <w:sz w:val="24"/>
          <w:szCs w:val="24"/>
          <w:highlight w:val="none"/>
        </w:rPr>
        <w:t>床位记录包括：</w:t>
      </w:r>
      <w:r>
        <w:rPr>
          <w:rFonts w:hint="eastAsia" w:ascii="宋体" w:hAnsi="宋体" w:eastAsia="宋体" w:cs="宋体"/>
          <w:bCs/>
          <w:iCs/>
          <w:sz w:val="24"/>
          <w:szCs w:val="24"/>
          <w:highlight w:val="none"/>
        </w:rPr>
        <w:t>各医疗机构床位</w:t>
      </w:r>
      <w:r>
        <w:rPr>
          <w:rFonts w:hint="eastAsia" w:ascii="宋体" w:hAnsi="宋体" w:eastAsia="宋体" w:cs="宋体"/>
          <w:bCs/>
          <w:iCs/>
          <w:sz w:val="24"/>
          <w:szCs w:val="24"/>
        </w:rPr>
        <w:t>信息，床位分配动态数据。</w:t>
      </w:r>
    </w:p>
    <w:p w14:paraId="002CB73F">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3</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非结构化数据：</w:t>
      </w:r>
    </w:p>
    <w:p w14:paraId="0196CBA2">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本项目需要上传的非结构化内容包括：处方单、LIS 报告单、PACS 报告单、出院小结以及体检报告等部分，由医疗卫生机构开发接口程序生成对应的 pdf 文件上传至前置机指定目录。</w:t>
      </w:r>
    </w:p>
    <w:p w14:paraId="1C26CEF4">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4</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视图要求：</w:t>
      </w:r>
    </w:p>
    <w:p w14:paraId="108912C1">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1</w:t>
      </w:r>
      <w:r>
        <w:rPr>
          <w:rFonts w:hint="eastAsia" w:ascii="宋体" w:hAnsi="宋体" w:eastAsia="宋体" w:cs="宋体"/>
          <w:bCs/>
          <w:iCs/>
          <w:sz w:val="24"/>
          <w:szCs w:val="24"/>
          <w:lang w:eastAsia="zh-CN"/>
        </w:rPr>
        <w:t>）</w:t>
      </w:r>
      <w:r>
        <w:rPr>
          <w:rFonts w:hint="eastAsia" w:ascii="宋体" w:hAnsi="宋体" w:eastAsia="宋体" w:cs="宋体"/>
          <w:bCs/>
          <w:iCs/>
          <w:sz w:val="24"/>
          <w:szCs w:val="24"/>
        </w:rPr>
        <w:t>每个试图都必须有一个时间字段能够提取到前一天的数据。建议modify_datetime(数据类型date)，如果有指定，请告知对接人员；</w:t>
      </w:r>
    </w:p>
    <w:p w14:paraId="5EF8689E">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2</w:t>
      </w:r>
      <w:r>
        <w:rPr>
          <w:rFonts w:hint="eastAsia" w:ascii="宋体" w:hAnsi="宋体" w:eastAsia="宋体" w:cs="宋体"/>
          <w:bCs/>
          <w:iCs/>
          <w:sz w:val="24"/>
          <w:szCs w:val="24"/>
          <w:lang w:eastAsia="zh-CN"/>
        </w:rPr>
        <w:t>）</w:t>
      </w:r>
      <w:r>
        <w:rPr>
          <w:rFonts w:hint="eastAsia" w:ascii="宋体" w:hAnsi="宋体" w:eastAsia="宋体" w:cs="宋体"/>
          <w:bCs/>
          <w:iCs/>
          <w:sz w:val="24"/>
          <w:szCs w:val="24"/>
        </w:rPr>
        <w:t>字段必须要按照平台要求进行字典对照；</w:t>
      </w:r>
    </w:p>
    <w:p w14:paraId="78A51195">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sectPr>
          <w:headerReference r:id="rId12" w:type="default"/>
          <w:footerReference r:id="rId13" w:type="default"/>
          <w:pgSz w:w="11906" w:h="16838"/>
          <w:pgMar w:top="1440" w:right="1800" w:bottom="1402" w:left="1620" w:header="851" w:footer="992" w:gutter="0"/>
          <w:pgNumType w:start="1"/>
          <w:cols w:space="720" w:num="1"/>
          <w:docGrid w:type="lines" w:linePitch="312" w:charSpace="0"/>
        </w:sect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3</w:t>
      </w:r>
      <w:r>
        <w:rPr>
          <w:rFonts w:hint="eastAsia" w:ascii="宋体" w:hAnsi="宋体" w:eastAsia="宋体" w:cs="宋体"/>
          <w:bCs/>
          <w:iCs/>
          <w:sz w:val="24"/>
          <w:szCs w:val="24"/>
          <w:lang w:eastAsia="zh-CN"/>
        </w:rPr>
        <w:t>）</w:t>
      </w:r>
      <w:r>
        <w:rPr>
          <w:rFonts w:hint="eastAsia" w:ascii="宋体" w:hAnsi="宋体" w:eastAsia="宋体" w:cs="宋体"/>
          <w:bCs/>
          <w:iCs/>
          <w:sz w:val="24"/>
          <w:szCs w:val="24"/>
        </w:rPr>
        <w:t>给市平台提供一个可以查看试图的用户密码。</w:t>
      </w:r>
    </w:p>
    <w:p w14:paraId="56D3FB5D">
      <w:pPr>
        <w:keepNext w:val="0"/>
        <w:keepLines w:val="0"/>
        <w:pageBreakBefore w:val="0"/>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Cs/>
          <w:iCs/>
          <w:sz w:val="24"/>
          <w:szCs w:val="24"/>
        </w:rPr>
      </w:pPr>
      <w:r>
        <w:rPr>
          <w:rFonts w:hint="eastAsia" w:ascii="宋体" w:hAnsi="宋体" w:eastAsia="宋体" w:cs="宋体"/>
          <w:b/>
          <w:iCs/>
          <w:sz w:val="24"/>
          <w:szCs w:val="24"/>
        </w:rPr>
        <w:t>视图信息如下：</w:t>
      </w:r>
    </w:p>
    <w:tbl>
      <w:tblPr>
        <w:tblStyle w:val="21"/>
        <w:tblW w:w="4999" w:type="pct"/>
        <w:tblInd w:w="0" w:type="dxa"/>
        <w:tblLayout w:type="autofit"/>
        <w:tblCellMar>
          <w:top w:w="0" w:type="dxa"/>
          <w:left w:w="108" w:type="dxa"/>
          <w:bottom w:w="0" w:type="dxa"/>
          <w:right w:w="108" w:type="dxa"/>
        </w:tblCellMar>
      </w:tblPr>
      <w:tblGrid>
        <w:gridCol w:w="607"/>
        <w:gridCol w:w="412"/>
        <w:gridCol w:w="606"/>
        <w:gridCol w:w="2554"/>
        <w:gridCol w:w="1969"/>
        <w:gridCol w:w="2554"/>
      </w:tblGrid>
      <w:tr w14:paraId="03C3EAE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C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2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F74E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内容</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6C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备注</w:t>
            </w:r>
          </w:p>
        </w:tc>
      </w:tr>
      <w:tr w14:paraId="219272A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012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F4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结构化数据</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37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住院数据</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8CE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232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D7D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w:t>
            </w:r>
          </w:p>
        </w:tc>
      </w:tr>
      <w:tr w14:paraId="2FA2003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52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108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571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A15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中医住院病案首页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142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5E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w:t>
            </w:r>
          </w:p>
        </w:tc>
      </w:tr>
      <w:tr w14:paraId="44FC584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02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5E5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506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31D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入院记录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DD5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2D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(HISB60301_11)</w:t>
            </w:r>
          </w:p>
        </w:tc>
      </w:tr>
      <w:tr w14:paraId="00C25D0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D88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D5A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027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A5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24h内入出院记录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FC3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67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(HISB60301_12)</w:t>
            </w:r>
          </w:p>
        </w:tc>
      </w:tr>
      <w:tr w14:paraId="13CD27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C5F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5D0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27F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BD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24h内入院死亡记录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06D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FF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(HISB60301_13)</w:t>
            </w:r>
          </w:p>
        </w:tc>
      </w:tr>
      <w:tr w14:paraId="2E22DBF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CE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05A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940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A2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病程记录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33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首次病程记录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20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w:t>
            </w:r>
          </w:p>
        </w:tc>
      </w:tr>
      <w:tr w14:paraId="0955A86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38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084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B6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26E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EED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日常病程记录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5BE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(HISB60301_14_2)</w:t>
            </w:r>
          </w:p>
        </w:tc>
      </w:tr>
      <w:tr w14:paraId="20EB90C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52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F72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DC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640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CD6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上级医师查房记录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30D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(HISB60301_14_3)</w:t>
            </w:r>
          </w:p>
        </w:tc>
      </w:tr>
      <w:tr w14:paraId="427876A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9E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D60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D13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765C">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FE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疑难病例讨论记录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861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(HISB60301_14_4)</w:t>
            </w:r>
          </w:p>
        </w:tc>
      </w:tr>
      <w:tr w14:paraId="4572E84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2CF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B44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80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0A71">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DD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交接班记录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CA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(HISB60301_14_5)</w:t>
            </w:r>
          </w:p>
        </w:tc>
      </w:tr>
      <w:tr w14:paraId="43C677B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4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580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91C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835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20B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3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(HISB60301_14_6)</w:t>
            </w:r>
          </w:p>
        </w:tc>
      </w:tr>
      <w:tr w14:paraId="617D7C8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147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B1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EC2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C90">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C3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阶段小结记录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61E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(HISB60301_14_7)</w:t>
            </w:r>
          </w:p>
        </w:tc>
      </w:tr>
      <w:tr w14:paraId="4B2709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5E5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8CA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9EDF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E60">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C75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抢救记录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D46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(HISB60301_14_8)</w:t>
            </w:r>
          </w:p>
        </w:tc>
      </w:tr>
      <w:tr w14:paraId="274E9ED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F9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891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D3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641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B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0C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(HISB60301_14_9)</w:t>
            </w:r>
          </w:p>
        </w:tc>
      </w:tr>
      <w:tr w14:paraId="6D53D3B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12D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A5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749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DDB">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49C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术前小结记录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B6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(HISB60301_14_10)</w:t>
            </w:r>
          </w:p>
        </w:tc>
      </w:tr>
      <w:tr w14:paraId="7C3ABAE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B48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39F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9D3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9E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F43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术前讨论记录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92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(HISB60301_14_11)</w:t>
            </w:r>
          </w:p>
        </w:tc>
      </w:tr>
      <w:tr w14:paraId="716559F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7B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DA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58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228">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D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术后首次病程记录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B4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(HISB60301_14_12)</w:t>
            </w:r>
          </w:p>
        </w:tc>
      </w:tr>
      <w:tr w14:paraId="2D97411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1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C39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672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FBB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C6A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B51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(HISB60301_14_13)</w:t>
            </w:r>
          </w:p>
        </w:tc>
      </w:tr>
      <w:tr w14:paraId="541109A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43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44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47F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29A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EE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死亡记录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6B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(HISB60301_14_14)</w:t>
            </w:r>
          </w:p>
        </w:tc>
      </w:tr>
      <w:tr w14:paraId="185E18E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C0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C1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4F2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C3B4">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892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死亡病例讨论记录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9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(HISB60301_14_15)</w:t>
            </w:r>
          </w:p>
        </w:tc>
      </w:tr>
      <w:tr w14:paraId="54FDFD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6F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AF8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C79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E7F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护理操作记录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7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一般护理记录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FA9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(HISB60301_15_1)</w:t>
            </w:r>
          </w:p>
        </w:tc>
      </w:tr>
      <w:tr w14:paraId="5485131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CBD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E25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D228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97E">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E2D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病危（重）护理记录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82D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(HISB60301_15_2)</w:t>
            </w:r>
          </w:p>
        </w:tc>
      </w:tr>
      <w:tr w14:paraId="2E22A3D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410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9DB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EB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E0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7BA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1E1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(HISB60301_15_3)</w:t>
            </w:r>
          </w:p>
        </w:tc>
      </w:tr>
      <w:tr w14:paraId="523D3FF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D46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FF4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BF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DF7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BC5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生命体征测量记录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A8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(HISB60301_15_4)</w:t>
            </w:r>
          </w:p>
        </w:tc>
      </w:tr>
      <w:tr w14:paraId="0DFB2B2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D07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EB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25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04D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1B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出入量记录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66C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(HISB60301_15_5)</w:t>
            </w:r>
          </w:p>
        </w:tc>
      </w:tr>
      <w:tr w14:paraId="384A7AD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D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E2A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36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06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324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高值耗材使用记录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AA1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(HISB60301_15_6)</w:t>
            </w:r>
          </w:p>
        </w:tc>
      </w:tr>
      <w:tr w14:paraId="0131E83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2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420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5C8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492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护理评估与计划</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040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入院评估记录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83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(HISB60301_16_1)</w:t>
            </w:r>
          </w:p>
        </w:tc>
      </w:tr>
      <w:tr w14:paraId="32C6D80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B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3B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1CC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8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1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护理计划记录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944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(HISB60301_16_2)</w:t>
            </w:r>
          </w:p>
        </w:tc>
      </w:tr>
      <w:tr w14:paraId="596F07D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42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600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CB8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B0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776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出院评估与指导记录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F3E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(HISB60301_16_3)</w:t>
            </w:r>
          </w:p>
        </w:tc>
      </w:tr>
      <w:tr w14:paraId="1D1F1F0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32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02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61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83C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疾病史</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B7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过敏史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350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（HISB60301_17_1）</w:t>
            </w:r>
          </w:p>
        </w:tc>
      </w:tr>
      <w:tr w14:paraId="3D53E3B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B28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24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E14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6851">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C12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外伤史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127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（HISB60301_17_2）</w:t>
            </w:r>
          </w:p>
        </w:tc>
      </w:tr>
      <w:tr w14:paraId="4496614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711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1BD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55E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27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650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免疫史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8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（HISB60301_17_3）</w:t>
            </w:r>
          </w:p>
        </w:tc>
      </w:tr>
      <w:tr w14:paraId="6E350DC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C6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E1A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E17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5E4B">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E5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77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（HISB60301_17_4）</w:t>
            </w:r>
          </w:p>
        </w:tc>
      </w:tr>
      <w:tr w14:paraId="569D783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E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34A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15F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BD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A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病理检查记录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E5B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（HISB60301_17_5）</w:t>
            </w:r>
          </w:p>
        </w:tc>
      </w:tr>
      <w:tr w14:paraId="6AA43611">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3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9F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1BE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3A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急诊留观病历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145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急诊留观病历记录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E7F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（hisb60301_18_1）</w:t>
            </w:r>
          </w:p>
        </w:tc>
      </w:tr>
      <w:tr w14:paraId="219100A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333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580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891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09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6B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就诊抢救记录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EE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(hisb60301_18_2)</w:t>
            </w:r>
          </w:p>
        </w:tc>
      </w:tr>
      <w:tr w14:paraId="43792B1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D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B89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004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D0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医嘱明细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6C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23C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(HISB60301_5)</w:t>
            </w:r>
          </w:p>
        </w:tc>
      </w:tr>
      <w:tr w14:paraId="6B9AB7A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8A9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1C1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99E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B9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出院小结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7D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5AA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w:t>
            </w:r>
          </w:p>
        </w:tc>
      </w:tr>
      <w:tr w14:paraId="062430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6E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3F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B9F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65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C0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A20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(HISB60301_2)</w:t>
            </w:r>
          </w:p>
        </w:tc>
      </w:tr>
      <w:tr w14:paraId="56D9661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91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E0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423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4D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B99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70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(HISB60301_6)</w:t>
            </w:r>
          </w:p>
        </w:tc>
      </w:tr>
      <w:tr w14:paraId="4B125F3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F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EC4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CB9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DB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转科记录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90A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BB5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(HISB60301_3)</w:t>
            </w:r>
          </w:p>
        </w:tc>
      </w:tr>
      <w:tr w14:paraId="4D1D29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9F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427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7E6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4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22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AD3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(HISB60301_4)</w:t>
            </w:r>
          </w:p>
        </w:tc>
      </w:tr>
      <w:tr w14:paraId="3610331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0D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A00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D5C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8AC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放射治疗用药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24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44F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(HISb0301_4_1)</w:t>
            </w:r>
          </w:p>
        </w:tc>
      </w:tr>
      <w:tr w14:paraId="40193F1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362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11E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0B9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88E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BBE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F08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w:t>
            </w:r>
          </w:p>
        </w:tc>
      </w:tr>
      <w:tr w14:paraId="3D91341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B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3AB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84C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4F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F5B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4C2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(HISB60301_8_1)</w:t>
            </w:r>
          </w:p>
        </w:tc>
      </w:tr>
      <w:tr w14:paraId="5E73027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85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F7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8CE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6CD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1C7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26B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(HISB60301_8_2)</w:t>
            </w:r>
          </w:p>
        </w:tc>
      </w:tr>
      <w:tr w14:paraId="7A20B70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B7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73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4EA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105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住院药敏检验结果表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F18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09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(HISB60301_8_3)</w:t>
            </w:r>
          </w:p>
        </w:tc>
      </w:tr>
      <w:tr w14:paraId="2929E49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8B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43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94C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EE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02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15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(HISB60301_9)</w:t>
            </w:r>
          </w:p>
        </w:tc>
      </w:tr>
      <w:tr w14:paraId="1DCDC85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82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80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7D8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0E5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917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DFD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(HISB60301_10)</w:t>
            </w:r>
          </w:p>
        </w:tc>
      </w:tr>
      <w:tr w14:paraId="31DACAF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4C3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C7D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D752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864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住院病人结算主表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C10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3F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(ZY_BRJSK)</w:t>
            </w:r>
          </w:p>
        </w:tc>
      </w:tr>
      <w:tr w14:paraId="255AFC8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EF4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07E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BAB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786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住院病人费用明细库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069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3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(ZY_BRFYMXK)</w:t>
            </w:r>
          </w:p>
        </w:tc>
      </w:tr>
      <w:tr w14:paraId="7C193EC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3C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32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E4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5D4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住院病人结算明细库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64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7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(ZY_BRJSMXK)</w:t>
            </w:r>
          </w:p>
        </w:tc>
      </w:tr>
      <w:tr w14:paraId="2559C89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6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BAE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4B9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90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临床路径执行路径记录表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5A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6A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（hisb60301_CPATH)</w:t>
            </w:r>
          </w:p>
        </w:tc>
      </w:tr>
      <w:tr w14:paraId="504C3F7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CF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C3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F17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91A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重症监护记录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C2F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E6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(hisb60301_ICU)</w:t>
            </w:r>
          </w:p>
        </w:tc>
      </w:tr>
      <w:tr w14:paraId="4A5E568D">
        <w:tblPrEx>
          <w:tblCellMar>
            <w:top w:w="0" w:type="dxa"/>
            <w:left w:w="108" w:type="dxa"/>
            <w:bottom w:w="0" w:type="dxa"/>
            <w:right w:w="108" w:type="dxa"/>
          </w:tblCellMar>
        </w:tblPrEx>
        <w:trPr>
          <w:trHeight w:val="1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5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FD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694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门诊数据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19A0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Xml数据文件说明：患者一次门诊的所有结构化数据以XML文件格式进行传输交互，患者门诊数据按业务类型写入不同名称的xml中，xml命名方式以业务类型所对应的表名加日期来进行（注意全为小写字母），例如要传输2015年01月28号的院内门诊病人的病案首页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“hisc00_20150128.xml”。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数据采集交互采取每天凌晨上传院内前一天所有门诊数据(包括新增、修改的数据)。</w:t>
            </w:r>
          </w:p>
        </w:tc>
      </w:tr>
      <w:tr w14:paraId="00BD0471">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31A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700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59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08D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5F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F46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w:t>
            </w:r>
          </w:p>
        </w:tc>
      </w:tr>
      <w:tr w14:paraId="4AC0F02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225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92E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147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66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处方明细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6B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13E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(HISC00_5)</w:t>
            </w:r>
          </w:p>
        </w:tc>
      </w:tr>
      <w:tr w14:paraId="408E46A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77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D8C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EBF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31B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29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391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(HISC00_6)</w:t>
            </w:r>
          </w:p>
        </w:tc>
      </w:tr>
      <w:tr w14:paraId="7CA6AA7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12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2E3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CB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528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7EB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E9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(HISC00_2)</w:t>
            </w:r>
          </w:p>
        </w:tc>
      </w:tr>
      <w:tr w14:paraId="430C791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B1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1C8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36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26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47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524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w:t>
            </w:r>
          </w:p>
        </w:tc>
      </w:tr>
      <w:tr w14:paraId="546D23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4B8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04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002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2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362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872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(HISC00_8_1)</w:t>
            </w:r>
          </w:p>
        </w:tc>
      </w:tr>
      <w:tr w14:paraId="5CA530C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EB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5CD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0565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BA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EFF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42C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(HISC00_8_2)</w:t>
            </w:r>
          </w:p>
        </w:tc>
      </w:tr>
      <w:tr w14:paraId="372418E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6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36C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1A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219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门诊药敏结果表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4FC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90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(HISC00_8_3)</w:t>
            </w:r>
          </w:p>
        </w:tc>
      </w:tr>
      <w:tr w14:paraId="5921B59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1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455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E860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C1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7D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8E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(HISC00_4)</w:t>
            </w:r>
          </w:p>
        </w:tc>
      </w:tr>
      <w:tr w14:paraId="175AEB1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7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1C97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38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A8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放射治疗用药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8AE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DF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(HISC00_4_1)</w:t>
            </w:r>
          </w:p>
        </w:tc>
      </w:tr>
      <w:tr w14:paraId="297A59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455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37B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207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F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2D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CF5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(HISC00_9)</w:t>
            </w:r>
          </w:p>
        </w:tc>
      </w:tr>
      <w:tr w14:paraId="412F26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36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33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B60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4D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2BD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910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(HISC00_10)</w:t>
            </w:r>
          </w:p>
        </w:tc>
      </w:tr>
      <w:tr w14:paraId="13E0839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E2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72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642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FC5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门诊收费主表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63E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570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(MZ_SFZB)</w:t>
            </w:r>
          </w:p>
        </w:tc>
      </w:tr>
      <w:tr w14:paraId="015882C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43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8B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E2D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3F1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门诊收费明细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78D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31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(MZ_SFMX)</w:t>
            </w:r>
          </w:p>
        </w:tc>
      </w:tr>
      <w:tr w14:paraId="2DF22EC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44C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B63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7B8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B34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门诊费用结算信息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AC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6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(MZ_FYJS)</w:t>
            </w:r>
          </w:p>
        </w:tc>
      </w:tr>
      <w:tr w14:paraId="65D241C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5C5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F7A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CB9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9B2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挂号表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A6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087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（hisc00_1）</w:t>
            </w:r>
          </w:p>
        </w:tc>
      </w:tr>
      <w:tr w14:paraId="24BD54C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2A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E25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1EB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知情告知记录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C0B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A7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2B2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(HISZQGZ1)</w:t>
            </w:r>
          </w:p>
        </w:tc>
      </w:tr>
      <w:tr w14:paraId="694DC84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8F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311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C86B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8D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麻醉知情同意书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36B3">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BEC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(HISZQGZ2)</w:t>
            </w:r>
          </w:p>
        </w:tc>
      </w:tr>
      <w:tr w14:paraId="55BFB1F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66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758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436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3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输血治疗同意书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ACE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BDF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(HISZQGZ3)</w:t>
            </w:r>
          </w:p>
        </w:tc>
      </w:tr>
      <w:tr w14:paraId="1982789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19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2F2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335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96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特殊检查及特殊治疗同意书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4B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B81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(HISZQGZ4)</w:t>
            </w:r>
          </w:p>
        </w:tc>
      </w:tr>
      <w:tr w14:paraId="65FC91A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20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D73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8EB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C37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病危（重）通知书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3D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E9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(HISZQGZ5)</w:t>
            </w:r>
          </w:p>
        </w:tc>
      </w:tr>
      <w:tr w14:paraId="1426C2C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12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B5D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A15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639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其他知情同意书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E8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9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(HISZQGZ6)</w:t>
            </w:r>
          </w:p>
        </w:tc>
      </w:tr>
      <w:tr w14:paraId="1AB993F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A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F5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D0E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麻醉记录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5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C31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1F4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（his_mzjl）</w:t>
            </w:r>
          </w:p>
        </w:tc>
      </w:tr>
      <w:tr w14:paraId="1D8ADA7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0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B6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1A8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69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麻醉用药记录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85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8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（his_mzyy）</w:t>
            </w:r>
          </w:p>
        </w:tc>
      </w:tr>
      <w:tr w14:paraId="5BC4C45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E5D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FAF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940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E4D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麻醉生命体征监测</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4D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3A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（his_MZSMTZJC）</w:t>
            </w:r>
          </w:p>
        </w:tc>
      </w:tr>
      <w:tr w14:paraId="28B21F0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9C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3D1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7F3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5FA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麻醉常规监测项目记录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DD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E6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（his_MZCGJCJL）</w:t>
            </w:r>
          </w:p>
        </w:tc>
      </w:tr>
      <w:tr w14:paraId="2107EC5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4C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C4A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542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50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麻醉特殊监测项目记录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670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F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（his_MZTSJCJL）</w:t>
            </w:r>
          </w:p>
        </w:tc>
      </w:tr>
      <w:tr w14:paraId="1F000A8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39B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C03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D8E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096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麻醉术后访视记录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51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A84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（his_MZSHFSJL）</w:t>
            </w:r>
          </w:p>
        </w:tc>
      </w:tr>
      <w:tr w14:paraId="742F5CBB">
        <w:tblPrEx>
          <w:tblCellMar>
            <w:top w:w="0" w:type="dxa"/>
            <w:left w:w="108" w:type="dxa"/>
            <w:bottom w:w="0" w:type="dxa"/>
            <w:right w:w="108" w:type="dxa"/>
          </w:tblCellMar>
        </w:tblPrEx>
        <w:trPr>
          <w:trHeight w:val="21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8EF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A5D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911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体检数据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D62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一次体检的所有结构化数据以XML文件格式进行传输交互，居民体检数据按业务类型写入不同名称的xml中，xml命名方式以业务类型所对应的表名加日期来进行（注意全为小写字母），例如要传输2015年01月28号的院内居民体检登记及评价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“his_tj_20150128.xml”。未设立体检中心的医疗卫生机构在开展体检业务时产生的数据随门诊业务数据上报。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数据采集交互采取每天凌晨上传院内前一天所有体检数据(包括新增、修改的数据)。</w:t>
            </w:r>
          </w:p>
        </w:tc>
      </w:tr>
      <w:tr w14:paraId="2E43469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9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EC8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62D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44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体检登记及评价</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32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38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w:t>
            </w:r>
          </w:p>
        </w:tc>
      </w:tr>
      <w:tr w14:paraId="34CADD1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8C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3A0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28D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F8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8D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5E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w:t>
            </w:r>
          </w:p>
        </w:tc>
      </w:tr>
      <w:tr w14:paraId="57C5987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DC2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571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B33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D2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46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8FB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(HISTJ_2_1)</w:t>
            </w:r>
          </w:p>
        </w:tc>
      </w:tr>
      <w:tr w14:paraId="166F799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6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ED1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FC8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A6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9C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9C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(HISTJ_2_2)</w:t>
            </w:r>
          </w:p>
        </w:tc>
      </w:tr>
      <w:tr w14:paraId="2263125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5D8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C10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DE0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765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体检药敏结果表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D6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9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(HISTJ_2_3)</w:t>
            </w:r>
          </w:p>
        </w:tc>
      </w:tr>
      <w:tr w14:paraId="17DC72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8F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182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36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393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2A4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68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(HISTJ_3)</w:t>
            </w:r>
          </w:p>
        </w:tc>
      </w:tr>
      <w:tr w14:paraId="527D2CD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BF6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973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E4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E9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3B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7EC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(HISTJ_4)</w:t>
            </w:r>
          </w:p>
        </w:tc>
      </w:tr>
      <w:tr w14:paraId="0B67D42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1D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3D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EB4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6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体检收费主表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ACA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085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(TJ_SFZB)</w:t>
            </w:r>
          </w:p>
        </w:tc>
      </w:tr>
      <w:tr w14:paraId="3FECCCA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3B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13A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00B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47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体检收费明细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5DD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0CC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(TJ_SFMX)</w:t>
            </w:r>
          </w:p>
        </w:tc>
      </w:tr>
      <w:tr w14:paraId="02397E0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F41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DC4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F3F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51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体检费用结算信息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FD5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2B6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(TJ_FYJS)</w:t>
            </w:r>
          </w:p>
        </w:tc>
      </w:tr>
      <w:tr w14:paraId="040B855A">
        <w:tblPrEx>
          <w:tblCellMar>
            <w:top w:w="0" w:type="dxa"/>
            <w:left w:w="108" w:type="dxa"/>
            <w:bottom w:w="0" w:type="dxa"/>
            <w:right w:w="108" w:type="dxa"/>
          </w:tblCellMar>
        </w:tblPrEx>
        <w:trPr>
          <w:trHeight w:val="17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E02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D6D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E46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C1C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患者会诊的所有结构化数据以XML文件格式进行传输交互，患者会诊数据按业务类型写入不同名称的xml中，xml命名方式以业务类型所对应的表名加日期来进行（注意全为小写字母），例如要传输2015年01月28号的会诊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“ehr_cure_consultation_20150128.xml”。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数据采集交互采取每天凌晨上传院内前一天所有会诊数据(包括新增、修改的数据)。</w:t>
            </w:r>
          </w:p>
        </w:tc>
      </w:tr>
      <w:tr w14:paraId="32E0A78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2C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2BA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A743">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DB5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0EA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E23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(EHR_Cure_Consultation)</w:t>
            </w:r>
          </w:p>
        </w:tc>
      </w:tr>
      <w:tr w14:paraId="6F0A30D5">
        <w:tblPrEx>
          <w:tblCellMar>
            <w:top w:w="0" w:type="dxa"/>
            <w:left w:w="108" w:type="dxa"/>
            <w:bottom w:w="0" w:type="dxa"/>
            <w:right w:w="108" w:type="dxa"/>
          </w:tblCellMar>
        </w:tblPrEx>
        <w:trPr>
          <w:trHeight w:val="18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14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BC8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5E4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转诊记录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C13A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患者转诊的所有结构化数据以XML文件格式进行传输交互，患者转诊数据按业务类型写入不同名称的xml中，xml命名方式以业务类型所对应的表名加日期来进行（注意全为小写字母），例如要传输2015年01月28号的转诊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“ehr_cure_referral_20150128.xml”。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数据采集交互采取每天凌晨上传院内前一天所有转诊数据(包括新增、修改的数据)。</w:t>
            </w:r>
          </w:p>
        </w:tc>
      </w:tr>
      <w:tr w14:paraId="4084D0E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85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35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566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1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转诊记录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CF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B5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(EHR_Cure_Referral)</w:t>
            </w:r>
          </w:p>
        </w:tc>
      </w:tr>
      <w:tr w14:paraId="517005F7">
        <w:tblPrEx>
          <w:tblCellMar>
            <w:top w:w="0" w:type="dxa"/>
            <w:left w:w="108" w:type="dxa"/>
            <w:bottom w:w="0" w:type="dxa"/>
            <w:right w:w="108" w:type="dxa"/>
          </w:tblCellMar>
        </w:tblPrEx>
        <w:trPr>
          <w:trHeight w:val="18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5EB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BD9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09B1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居民死亡报告数据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24B7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报告的所有结构化数据以XML文件格式进行传输交互，居民死亡报告数据按业务类型写入不同名称的xml中，xml命名方式以业务类型所对应的表名加日期来进行（注意全为小写字母），例如要传输2015年01月28号的居民死亡医学证明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“ehr_arch_deathcard_20150128.xml”。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数据采集交互采取每天凌晨上传院内前一天所有死亡报告数据(包括新增、修改的数据)。</w:t>
            </w:r>
          </w:p>
        </w:tc>
      </w:tr>
      <w:tr w14:paraId="3A4C1A9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F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923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9F7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9F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居民死亡医学证明</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8A3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5C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(EHR_Arch_DeathCard)</w:t>
            </w:r>
          </w:p>
        </w:tc>
      </w:tr>
      <w:tr w14:paraId="6FBE1A2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9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41E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AF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4E9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孕产妇死亡副卡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F42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BE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(EHR_Arch_PregnantDeath)</w:t>
            </w:r>
          </w:p>
        </w:tc>
      </w:tr>
      <w:tr w14:paraId="36C1852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E7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21A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219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DA4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儿童死亡副卡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105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AD9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(EHR_Arch_KidDeath)</w:t>
            </w:r>
          </w:p>
        </w:tc>
      </w:tr>
      <w:tr w14:paraId="62788F16">
        <w:tblPrEx>
          <w:tblCellMar>
            <w:top w:w="0" w:type="dxa"/>
            <w:left w:w="108" w:type="dxa"/>
            <w:bottom w:w="0" w:type="dxa"/>
            <w:right w:w="108" w:type="dxa"/>
          </w:tblCellMar>
        </w:tblPrEx>
        <w:trPr>
          <w:trHeight w:val="16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8D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44C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E30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分娩记录数据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432A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妇分娩的所有结构化数据以XML文件格式进行传输交互，产妇分娩数据按业务类型写入不同名称的xml中，xml命名方式以业务类型所对应的表名加日期来进行（注意全为小写字母），例如要传输2015年01月28号的分娩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“ehr_lady_labor_20150128.xml”。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数据采集交互采取每天凌晨上传院内前一天所有分娩数据(包括新增、修改的数据)。</w:t>
            </w:r>
          </w:p>
        </w:tc>
      </w:tr>
      <w:tr w14:paraId="28CD0EB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E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D00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CC1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B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分娩记录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6B2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DC7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(EHR_Lady_Labor)</w:t>
            </w:r>
          </w:p>
        </w:tc>
      </w:tr>
      <w:tr w14:paraId="611F648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4BF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BCF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6D8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D1F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新生儿情况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6A6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FA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(EHR_Lady_NewBorn)</w:t>
            </w:r>
          </w:p>
        </w:tc>
      </w:tr>
      <w:tr w14:paraId="237698F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47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711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BC3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助产记录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99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待产记录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A6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93D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(HER_Lady_zc)</w:t>
            </w:r>
          </w:p>
        </w:tc>
      </w:tr>
      <w:tr w14:paraId="050B5D1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E4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414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A51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D5B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阴道分娩记录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51C5">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E7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（HER_lady_ydfm）</w:t>
            </w:r>
          </w:p>
        </w:tc>
      </w:tr>
      <w:tr w14:paraId="383676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88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C5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ED9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4A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剖宫产手术记录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E81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F61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(HER_lady_pgcss)</w:t>
            </w:r>
          </w:p>
        </w:tc>
      </w:tr>
      <w:tr w14:paraId="710D5DA9">
        <w:tblPrEx>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0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172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F66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9009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Xml数据文件说明：院内床位的所有结构化数据以XML文件格式进行传输交互，床位数据按业务类型写入不同名称的xml中，xml命名方式以业务类型所对应的表名加日期来进行（注意全为小写字母），例如要传输2015年01月28号的病人住院床位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“his_brzyxx_20150128.xml”。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数据采集交互采取每天凌晨上传院内前一天所有床位数据(包括新增、修改的数据)。</w:t>
            </w:r>
          </w:p>
        </w:tc>
      </w:tr>
      <w:tr w14:paraId="1DCAFF5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76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D1E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70C3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58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床位使用情况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DC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063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(HIS_CWSYQK)</w:t>
            </w:r>
          </w:p>
        </w:tc>
      </w:tr>
      <w:tr w14:paraId="08CFFD1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0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F58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8E7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CB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床位基本信息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2E7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BD4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(HIS_CWK)</w:t>
            </w:r>
          </w:p>
        </w:tc>
      </w:tr>
      <w:tr w14:paraId="090B527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F4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F3D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470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141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病人住院记录信息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234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C1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(HIS_BRZYXX)</w:t>
            </w:r>
          </w:p>
        </w:tc>
      </w:tr>
      <w:tr w14:paraId="066AF18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2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270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C2F7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基础字典表</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6D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医院的科室字典表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B8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B4E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（base_jgks）</w:t>
            </w:r>
          </w:p>
        </w:tc>
      </w:tr>
      <w:tr w14:paraId="4BD857E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3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BFA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D15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727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医护人员字典表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02A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FDD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(doctor_info)</w:t>
            </w:r>
          </w:p>
        </w:tc>
      </w:tr>
      <w:tr w14:paraId="1FD88F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BF3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6A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3E6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F43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医院的诊疗项目对照字典表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4B5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6B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(base_zlxm_dz)</w:t>
            </w:r>
          </w:p>
        </w:tc>
      </w:tr>
      <w:tr w14:paraId="1F33D00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643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BEB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59B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F5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医院药品对照字典表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D3A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ABD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(base_drug_dz)</w:t>
            </w:r>
          </w:p>
        </w:tc>
      </w:tr>
      <w:tr w14:paraId="22A5DC7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6D4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864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C54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A5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医院医材对照字典表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684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A08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(base_yc_dz)</w:t>
            </w:r>
          </w:p>
        </w:tc>
      </w:tr>
      <w:tr w14:paraId="1243A81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73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58EB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F01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病历概要</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90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病历概要-卫生事件摘要</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5F5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7FF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（blgy_wssjzy）</w:t>
            </w:r>
          </w:p>
        </w:tc>
      </w:tr>
      <w:tr w14:paraId="1623CC4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04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66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4A76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D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基本健康信息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B27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22D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（his_baseinfo）</w:t>
            </w:r>
          </w:p>
        </w:tc>
      </w:tr>
      <w:tr w14:paraId="7AAE456F">
        <w:tblPrEx>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D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120</w:t>
            </w:r>
          </w:p>
        </w:tc>
        <w:tc>
          <w:tcPr>
            <w:tcW w:w="431" w:type="pct"/>
            <w:vMerge w:val="restart"/>
            <w:tcBorders>
              <w:top w:val="nil"/>
              <w:left w:val="single" w:color="000000" w:sz="4" w:space="0"/>
              <w:bottom w:val="single" w:color="000000" w:sz="4" w:space="0"/>
              <w:right w:val="single" w:color="000000" w:sz="4" w:space="0"/>
            </w:tcBorders>
            <w:shd w:val="clear" w:color="auto" w:fill="auto"/>
            <w:vAlign w:val="center"/>
          </w:tcPr>
          <w:p w14:paraId="386037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非结构化数据</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93F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处方单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CB15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命名规则：R身份证号_就诊号_流水号_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示例：R6101021991061231_201206050002_1_A.pdf (表明是门诊处方单)</w:t>
            </w:r>
          </w:p>
        </w:tc>
      </w:tr>
      <w:tr w14:paraId="50620CCB">
        <w:tblPrEx>
          <w:tblCellMar>
            <w:top w:w="0" w:type="dxa"/>
            <w:left w:w="108" w:type="dxa"/>
            <w:bottom w:w="0" w:type="dxa"/>
            <w:right w:w="108" w:type="dxa"/>
          </w:tblCellMar>
        </w:tblPrEx>
        <w:trPr>
          <w:trHeight w:val="16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BF6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2796BC7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C7E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LIS报告单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535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命名规则：L身份证号_就诊号_流水号_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 L6101021991061231_201205060001_1_B.pdf (表明是住院LIS报告单)</w:t>
            </w:r>
          </w:p>
        </w:tc>
      </w:tr>
      <w:tr w14:paraId="2B58D9DA">
        <w:tblPrEx>
          <w:tblCellMar>
            <w:top w:w="0" w:type="dxa"/>
            <w:left w:w="108" w:type="dxa"/>
            <w:bottom w:w="0" w:type="dxa"/>
            <w:right w:w="108" w:type="dxa"/>
          </w:tblCellMar>
        </w:tblPrEx>
        <w:trPr>
          <w:trHeight w:val="14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16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4EC795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2A3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PACS报告单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77E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命名规则：P身份证号_就诊号_流水号_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示例：P6101021991061231_201105040003_1_C.pdf (表明是体检的PACS报告单)</w:t>
            </w:r>
          </w:p>
        </w:tc>
      </w:tr>
      <w:tr w14:paraId="1084839F">
        <w:tblPrEx>
          <w:tblCellMar>
            <w:top w:w="0" w:type="dxa"/>
            <w:left w:w="108" w:type="dxa"/>
            <w:bottom w:w="0" w:type="dxa"/>
            <w:right w:w="108" w:type="dxa"/>
          </w:tblCellMar>
        </w:tblPrEx>
        <w:trPr>
          <w:trHeight w:val="1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83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49FC009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F4A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出院小结</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7146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命名规则：H身份证号_就诊号_流水号_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示例：H6101021991061231_201105040003_2_B.pdf(表明是出院小结)</w:t>
            </w:r>
          </w:p>
        </w:tc>
      </w:tr>
      <w:tr w14:paraId="12A0A158">
        <w:tblPrEx>
          <w:tblCellMar>
            <w:top w:w="0" w:type="dxa"/>
            <w:left w:w="108" w:type="dxa"/>
            <w:bottom w:w="0" w:type="dxa"/>
            <w:right w:w="108" w:type="dxa"/>
          </w:tblCellMar>
        </w:tblPrEx>
        <w:trPr>
          <w:trHeight w:val="19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8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1F7979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70B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体检报告</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E80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 pdf 文件名文件名由 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命名规则：T 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 示例：T6101021991061231_201105040003_2_C.pdf(表明是体检报告)</w:t>
            </w:r>
          </w:p>
        </w:tc>
      </w:tr>
      <w:tr w14:paraId="471B28F7">
        <w:tblPrEx>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99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07C1D76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03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人像信息</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A260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上传的jpg文件名文件名由4部分组成，各部分通过下划线间隔，如果组成部分为空，则传减号“-”代替空，文件名中不能含有空格。为确保数据文件的唯一性，必须严格按照如下规则进行命名：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命名规则：X身份证号_就诊号_床号_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就诊类型.jpg</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示例：X6101021991061231_201105040003_20090_B.jpg</w:t>
            </w:r>
          </w:p>
        </w:tc>
      </w:tr>
    </w:tbl>
    <w:p w14:paraId="05A265F5">
      <w:pPr>
        <w:pStyle w:val="9"/>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三</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其他要求</w:t>
      </w:r>
    </w:p>
    <w:p w14:paraId="1144811F">
      <w:pPr>
        <w:keepNext w:val="0"/>
        <w:keepLines w:val="0"/>
        <w:pageBreakBefore w:val="0"/>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1、项目工期</w:t>
      </w:r>
    </w:p>
    <w:p w14:paraId="191F7776">
      <w:pPr>
        <w:keepNext w:val="0"/>
        <w:keepLines w:val="0"/>
        <w:pageBreakBefore w:val="0"/>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要求项目团队在一个月内支持项目落地。</w:t>
      </w:r>
    </w:p>
    <w:p w14:paraId="78B2E569">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2、验收要求</w:t>
      </w:r>
    </w:p>
    <w:p w14:paraId="6249DA28">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（1）验收标准：采购人根据国家有关规定、招投标文件以及合同约定的内容与使用单位联合组织验收</w:t>
      </w:r>
      <w:bookmarkStart w:id="0" w:name="OLE_LINK232"/>
      <w:r>
        <w:rPr>
          <w:rFonts w:hint="eastAsia" w:ascii="宋体" w:hAnsi="宋体" w:eastAsia="宋体" w:cs="宋体"/>
          <w:kern w:val="0"/>
          <w:sz w:val="24"/>
          <w:szCs w:val="24"/>
          <w:highlight w:val="none"/>
        </w:rPr>
        <w:t>。</w:t>
      </w:r>
    </w:p>
    <w:p w14:paraId="11424414">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（2）项目验收：</w:t>
      </w:r>
      <w:r>
        <w:rPr>
          <w:rFonts w:hint="eastAsia" w:ascii="宋体" w:hAnsi="宋体" w:eastAsia="宋体" w:cs="宋体"/>
          <w:sz w:val="24"/>
          <w:szCs w:val="24"/>
          <w:highlight w:val="none"/>
        </w:rPr>
        <w:t>根据磋商文件的技术商务要求、成交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的响应文件及承诺以及合同等进行验收。</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提交验收申请后 10 日内，</w:t>
      </w:r>
      <w:r>
        <w:rPr>
          <w:rFonts w:hint="eastAsia" w:ascii="宋体" w:hAnsi="宋体" w:cs="宋体"/>
          <w:kern w:val="0"/>
          <w:sz w:val="24"/>
          <w:szCs w:val="24"/>
          <w:highlight w:val="none"/>
          <w:lang w:eastAsia="zh-CN"/>
        </w:rPr>
        <w:t>采购人</w:t>
      </w:r>
      <w:r>
        <w:rPr>
          <w:rFonts w:hint="eastAsia" w:ascii="宋体" w:hAnsi="宋体" w:eastAsia="宋体" w:cs="宋体"/>
          <w:kern w:val="0"/>
          <w:sz w:val="24"/>
          <w:szCs w:val="24"/>
          <w:highlight w:val="none"/>
        </w:rPr>
        <w:t>验收小组须召集验收评审会对项目验收与否进行论证。</w:t>
      </w:r>
    </w:p>
    <w:bookmarkEnd w:id="0"/>
    <w:p w14:paraId="67EAB3E5">
      <w:pPr>
        <w:pStyle w:val="11"/>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三、商务要求</w:t>
      </w:r>
    </w:p>
    <w:p w14:paraId="4FCF7A09">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1、服务期限：2025年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日之前明确接口服务的需求，并完成相应对接工作。</w:t>
      </w:r>
    </w:p>
    <w:p w14:paraId="5CAE8121">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2、服务地点：陕西中医药大学第二附属医院西咸院区；</w:t>
      </w:r>
    </w:p>
    <w:p w14:paraId="0AC1C731">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报价要求：竞标报价不得高于预算控制价，高于的响应文件作无效处理；报价是履行合同的最终价格，应包括相关的接口费、人工费、管理费、相关税费、培训等竞标人完成本项目所需的一切费用，采购人不再支付任何费用；报价估算错误等引起的风险由竞标人自行承担。</w:t>
      </w:r>
    </w:p>
    <w:p w14:paraId="627E43CE">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4、付款方式：</w:t>
      </w:r>
      <w:r>
        <w:rPr>
          <w:rFonts w:hint="eastAsia" w:ascii="宋体" w:hAnsi="宋体" w:eastAsia="宋体" w:cs="宋体"/>
          <w:sz w:val="24"/>
          <w:szCs w:val="24"/>
          <w:highlight w:val="none"/>
        </w:rPr>
        <w:t>合同签订后 7 个工作日内，支付合同总额的45%作为预付款；对接工作完成后 7 个工作日内，支付合同总额的 50%；验收合格后7 个工作日内，支付合同总额的 5%。</w:t>
      </w:r>
    </w:p>
    <w:p w14:paraId="0CD141C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6C4AE1E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46844E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65AC3AD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4EF2861B">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5B67EC7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5FA361EA">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45C66A95">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5A7F800">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2BED8F1C">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E98D467">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1C63E708">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5F7F407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78F6E909">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142500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D68C735">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1" w:name="_Toc20354"/>
    </w:p>
    <w:bookmarkEnd w:id="1"/>
    <w:p w14:paraId="141244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6500511B">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14:paraId="2ABC221E">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13B24FE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3AF4859A">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0F5D5CC9">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4"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0E3D342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3" w:name="_Toc16590_WPSOffice_Level2"/>
      <w:bookmarkStart w:id="4" w:name="_Toc6973_WPSOffice_Level1"/>
    </w:p>
    <w:p w14:paraId="1B9B37E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0EE3F6E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7D00F02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3"/>
    <w:bookmarkEnd w:id="4"/>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873"/>
        <w:gridCol w:w="6772"/>
      </w:tblGrid>
      <w:tr w14:paraId="2958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57" w:type="dxa"/>
            <w:vAlign w:val="center"/>
          </w:tcPr>
          <w:p w14:paraId="2368DF5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w:t>
            </w:r>
          </w:p>
          <w:p w14:paraId="35361135">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因素</w:t>
            </w:r>
          </w:p>
        </w:tc>
        <w:tc>
          <w:tcPr>
            <w:tcW w:w="873" w:type="dxa"/>
            <w:vAlign w:val="center"/>
          </w:tcPr>
          <w:p w14:paraId="78E0859E">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分值</w:t>
            </w:r>
          </w:p>
        </w:tc>
        <w:tc>
          <w:tcPr>
            <w:tcW w:w="6772" w:type="dxa"/>
            <w:vAlign w:val="center"/>
          </w:tcPr>
          <w:p w14:paraId="784CD180">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评审标准</w:t>
            </w:r>
          </w:p>
        </w:tc>
      </w:tr>
      <w:tr w14:paraId="2268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702" w:type="dxa"/>
            <w:gridSpan w:val="3"/>
            <w:vAlign w:val="center"/>
          </w:tcPr>
          <w:p w14:paraId="435101F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技术评审</w:t>
            </w:r>
          </w:p>
        </w:tc>
      </w:tr>
      <w:tr w14:paraId="2BF9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7DDE31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873" w:type="dxa"/>
            <w:vAlign w:val="center"/>
          </w:tcPr>
          <w:p w14:paraId="186D24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772" w:type="dxa"/>
          </w:tcPr>
          <w:p w14:paraId="05DAF50C">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满足磋商文件实质性要求且响应报价最低的供应商的价格为评审基准价，其价格分为满分，其他供应商的价格分统一按照下列公式计算：</w:t>
            </w:r>
          </w:p>
          <w:p w14:paraId="620543F2">
            <w:pPr>
              <w:spacing w:line="360" w:lineRule="auto"/>
              <w:rPr>
                <w:rFonts w:hint="eastAsia" w:ascii="宋体" w:hAnsi="宋体" w:eastAsia="宋体" w:cs="宋体"/>
                <w:sz w:val="24"/>
                <w:szCs w:val="24"/>
              </w:rPr>
            </w:pPr>
            <w:r>
              <w:rPr>
                <w:rFonts w:hint="eastAsia" w:ascii="宋体" w:hAnsi="宋体" w:eastAsia="宋体" w:cs="宋体"/>
                <w:sz w:val="24"/>
                <w:szCs w:val="24"/>
              </w:rPr>
              <w:t>报价得分=(磋商基准价／</w:t>
            </w:r>
            <w:r>
              <w:rPr>
                <w:rFonts w:hint="eastAsia" w:ascii="宋体" w:hAnsi="宋体" w:eastAsia="宋体" w:cs="宋体"/>
                <w:sz w:val="24"/>
                <w:szCs w:val="24"/>
                <w:lang w:eastAsia="zh-CN"/>
              </w:rPr>
              <w:t>磋商</w:t>
            </w:r>
            <w:r>
              <w:rPr>
                <w:rFonts w:hint="eastAsia" w:ascii="宋体" w:hAnsi="宋体" w:eastAsia="宋体" w:cs="宋体"/>
                <w:sz w:val="24"/>
                <w:szCs w:val="24"/>
              </w:rPr>
              <w:t>报价)×</w:t>
            </w:r>
            <w:r>
              <w:rPr>
                <w:rFonts w:hint="eastAsia" w:ascii="宋体" w:hAnsi="宋体" w:eastAsia="宋体" w:cs="宋体"/>
                <w:sz w:val="24"/>
                <w:szCs w:val="24"/>
                <w:lang w:val="en-US" w:eastAsia="zh-CN"/>
              </w:rPr>
              <w:t>30</w:t>
            </w:r>
            <w:r>
              <w:rPr>
                <w:rFonts w:hint="eastAsia" w:ascii="宋体" w:hAnsi="宋体" w:eastAsia="宋体" w:cs="宋体"/>
                <w:sz w:val="24"/>
                <w:szCs w:val="24"/>
              </w:rPr>
              <w:t>×10</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14:paraId="5E9629EE">
            <w:pPr>
              <w:spacing w:line="360" w:lineRule="auto"/>
              <w:rPr>
                <w:rFonts w:hint="eastAsia" w:ascii="宋体" w:hAnsi="宋体" w:eastAsia="宋体" w:cs="宋体"/>
                <w:sz w:val="24"/>
                <w:szCs w:val="24"/>
              </w:rPr>
            </w:pPr>
            <w:r>
              <w:rPr>
                <w:rFonts w:hint="eastAsia" w:ascii="宋体" w:hAnsi="宋体" w:eastAsia="宋体" w:cs="宋体"/>
                <w:sz w:val="24"/>
                <w:szCs w:val="24"/>
              </w:rPr>
              <w:t>计算分数时四舍五入取小数点后两位。</w:t>
            </w:r>
          </w:p>
        </w:tc>
      </w:tr>
      <w:tr w14:paraId="2201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31697A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873" w:type="dxa"/>
            <w:vAlign w:val="center"/>
          </w:tcPr>
          <w:p w14:paraId="4F8400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772" w:type="dxa"/>
          </w:tcPr>
          <w:p w14:paraId="5C68D3BE">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系统架构设计（10 分）</w:t>
            </w:r>
          </w:p>
          <w:p w14:paraId="7D65A551">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系统架构设计合理、先进，能够满足医院现有及未来发展的接口需求，具有良好的可扩展性和兼容性，得 7 - 10 分；架构设计基本合理，能满足当前主要需求，扩展性和兼容性一般，得 4 - 6 分；架构设计存在缺陷，不能满足需求，得 0 - 3 分。</w:t>
            </w:r>
          </w:p>
          <w:p w14:paraId="02062058">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接口设计（10 分）</w:t>
            </w:r>
          </w:p>
          <w:p w14:paraId="5E030C8C">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接口设计规范、安全、高效，数据传输准确可靠，对各类医疗信息系统的接口适配性强，得 7 - 10 分；接口设计基本符合要求，数据传输较稳定，适配性一般，得 4 - 6 分；接口设计不合理，存在安全隐患或数据传输问题，得 0 - 3 分。</w:t>
            </w:r>
          </w:p>
          <w:p w14:paraId="0765A879">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w:t>
            </w:r>
            <w:r>
              <w:rPr>
                <w:rFonts w:hint="eastAsia" w:ascii="宋体" w:hAnsi="宋体" w:eastAsia="宋体" w:cs="宋体"/>
                <w:b/>
                <w:bCs/>
                <w:kern w:val="0"/>
                <w:sz w:val="24"/>
                <w:szCs w:val="24"/>
                <w:lang w:bidi="ar"/>
              </w:rPr>
              <w:t>技术先进性（5 分）</w:t>
            </w:r>
          </w:p>
          <w:p w14:paraId="2842136A">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采用先进的软件开发技术和工具，具备智能化的数据处理和分析能力，能有效提升医院信息化水平，得 3 - 5 分；技术较先进，能满足基本业务需求，得 1 - 2 分；技术落后，得 0 分。</w:t>
            </w:r>
          </w:p>
          <w:p w14:paraId="536CC565">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w:t>
            </w:r>
            <w:r>
              <w:rPr>
                <w:rFonts w:hint="eastAsia" w:ascii="宋体" w:hAnsi="宋体" w:eastAsia="宋体" w:cs="宋体"/>
                <w:b/>
                <w:bCs/>
                <w:kern w:val="0"/>
                <w:sz w:val="24"/>
                <w:szCs w:val="24"/>
                <w:lang w:bidi="ar"/>
              </w:rPr>
              <w:t>技术文档（5 分）</w:t>
            </w:r>
          </w:p>
          <w:p w14:paraId="483DF801">
            <w:pPr>
              <w:widowControl/>
              <w:spacing w:line="360" w:lineRule="auto"/>
              <w:jc w:val="left"/>
              <w:rPr>
                <w:rFonts w:hint="eastAsia" w:ascii="宋体" w:hAnsi="宋体" w:eastAsia="宋体" w:cs="宋体"/>
                <w:b/>
                <w:bCs/>
                <w:sz w:val="24"/>
                <w:szCs w:val="24"/>
              </w:rPr>
            </w:pPr>
            <w:r>
              <w:rPr>
                <w:rFonts w:hint="eastAsia" w:ascii="宋体" w:hAnsi="宋体" w:eastAsia="宋体" w:cs="宋体"/>
                <w:kern w:val="0"/>
                <w:sz w:val="24"/>
                <w:szCs w:val="24"/>
                <w:lang w:bidi="ar"/>
              </w:rPr>
              <w:t>技术文档齐全、详细、规范，包括需求分析、设计文档、测试报告等，得 3 - 5 分；文档基本齐全，内容较简略，得 1-2 分；文档缺失严重，得 0 分。</w:t>
            </w:r>
          </w:p>
        </w:tc>
      </w:tr>
      <w:tr w14:paraId="77B2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18D663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873" w:type="dxa"/>
            <w:vAlign w:val="center"/>
          </w:tcPr>
          <w:p w14:paraId="1E6E6D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6772" w:type="dxa"/>
          </w:tcPr>
          <w:p w14:paraId="1FFFFD85">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1、实施</w:t>
            </w:r>
            <w:r>
              <w:rPr>
                <w:rFonts w:hint="eastAsia" w:ascii="宋体" w:hAnsi="宋体" w:eastAsia="宋体" w:cs="宋体"/>
                <w:b/>
                <w:bCs/>
                <w:kern w:val="0"/>
                <w:sz w:val="24"/>
                <w:szCs w:val="24"/>
                <w:lang w:bidi="ar"/>
              </w:rPr>
              <w:t>计划（5 分）</w:t>
            </w:r>
          </w:p>
          <w:p w14:paraId="45706923">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项目实施计划详细、合理，阶段划分明确，时间安排紧凑，关键里程碑清晰，得 4 - 5 分；计划较合理，时间安排基本可行，得 2 - 3 分；计划不合理，存在明显漏洞，得 0 - 1 分。</w:t>
            </w:r>
          </w:p>
          <w:p w14:paraId="3507E070">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项目团队（5 分）</w:t>
            </w:r>
          </w:p>
          <w:p w14:paraId="323EA30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项目团队成员经验丰富，包括项目经理具备同类项目管理经验，技术人员具备专业资质和技能，人员配备合理，得 4 - 5 分；团队成员经验和资质一般，人员配置基本满足需求，得 2 - 3 分；团队整体实力较弱，得 0 - 1 分。</w:t>
            </w:r>
          </w:p>
          <w:p w14:paraId="37961AF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w:t>
            </w:r>
            <w:r>
              <w:rPr>
                <w:rFonts w:hint="eastAsia" w:ascii="宋体" w:hAnsi="宋体" w:eastAsia="宋体" w:cs="宋体"/>
                <w:b/>
                <w:bCs/>
                <w:kern w:val="0"/>
                <w:sz w:val="24"/>
                <w:szCs w:val="24"/>
                <w:lang w:bidi="ar"/>
              </w:rPr>
              <w:t>实施步骤（5 分）</w:t>
            </w:r>
          </w:p>
          <w:p w14:paraId="17C53F3B">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实施步骤清晰、可行，包括系统安装、调试、接口联调、测试、培训等环节，且有详细的实施方法和措施，得 4 - 5 分；实施步骤基本明确，部分环节描述简略，得 2 - 3 分；实施步骤不清晰，缺乏关键环节，得 0 - 1 分。</w:t>
            </w:r>
          </w:p>
          <w:p w14:paraId="712A682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w:t>
            </w:r>
            <w:r>
              <w:rPr>
                <w:rFonts w:hint="eastAsia" w:ascii="宋体" w:hAnsi="宋体" w:eastAsia="宋体" w:cs="宋体"/>
                <w:b/>
                <w:bCs/>
                <w:kern w:val="0"/>
                <w:sz w:val="24"/>
                <w:szCs w:val="24"/>
                <w:lang w:bidi="ar"/>
              </w:rPr>
              <w:t>风险控制（3 分）</w:t>
            </w:r>
          </w:p>
          <w:p w14:paraId="1A419B26">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对项目实施过程中的风险进行全面识别，并制定有效的应对措施，风险控制预案完善，得 2 - 3 分；风险识别和应对措施基本合理，得 1 分；风险控制能力差，得 0 分。</w:t>
            </w:r>
          </w:p>
          <w:p w14:paraId="0B223267">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5、</w:t>
            </w:r>
            <w:r>
              <w:rPr>
                <w:rFonts w:hint="eastAsia" w:ascii="宋体" w:hAnsi="宋体" w:eastAsia="宋体" w:cs="宋体"/>
                <w:b/>
                <w:bCs/>
                <w:kern w:val="0"/>
                <w:sz w:val="24"/>
                <w:szCs w:val="24"/>
                <w:lang w:bidi="ar"/>
              </w:rPr>
              <w:t>验收方案（2 分）</w:t>
            </w:r>
          </w:p>
          <w:p w14:paraId="6CCD65A8">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验收方案科学、合理，验收标准明确，验收流程规范，得 1 - 2 分；验收方案简单，验收标准不清晰，得 0 - 1 分。</w:t>
            </w:r>
          </w:p>
        </w:tc>
      </w:tr>
      <w:tr w14:paraId="501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58C04E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873" w:type="dxa"/>
            <w:vAlign w:val="center"/>
          </w:tcPr>
          <w:p w14:paraId="66B27C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6772" w:type="dxa"/>
          </w:tcPr>
          <w:p w14:paraId="3DE20D56">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服务响应时间（4 分）</w:t>
            </w:r>
          </w:p>
          <w:p w14:paraId="308CBC05">
            <w:pPr>
              <w:widowControl/>
              <w:spacing w:line="360" w:lineRule="auto"/>
              <w:jc w:val="left"/>
              <w:rPr>
                <w:rFonts w:hint="eastAsia" w:ascii="宋体" w:hAnsi="宋体" w:eastAsia="宋体" w:cs="宋体"/>
                <w:kern w:val="0"/>
                <w:sz w:val="24"/>
                <w:szCs w:val="24"/>
                <w:lang w:bidi="ar"/>
              </w:rPr>
            </w:pPr>
            <w:r>
              <w:rPr>
                <w:rFonts w:hint="eastAsia" w:ascii="宋体" w:hAnsi="宋体" w:cs="宋体"/>
                <w:kern w:val="0"/>
                <w:sz w:val="24"/>
                <w:szCs w:val="24"/>
                <w:lang w:eastAsia="zh-CN" w:bidi="ar"/>
              </w:rPr>
              <w:t>根据响应时间及解决效率综合评审，</w:t>
            </w:r>
            <w:r>
              <w:rPr>
                <w:rFonts w:hint="eastAsia" w:ascii="宋体" w:hAnsi="宋体" w:eastAsia="宋体" w:cs="宋体"/>
                <w:kern w:val="0"/>
                <w:sz w:val="24"/>
                <w:szCs w:val="24"/>
                <w:lang w:bidi="ar"/>
              </w:rPr>
              <w:t>响应时间短，解决效率高，得 3 - 4 分；响应时间和解决时间较长，得 1 - 2 分；</w:t>
            </w:r>
          </w:p>
          <w:p w14:paraId="4C1B265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2、售后服务</w:t>
            </w:r>
            <w:r>
              <w:rPr>
                <w:rFonts w:hint="eastAsia" w:ascii="宋体" w:hAnsi="宋体" w:eastAsia="宋体" w:cs="宋体"/>
                <w:b/>
                <w:bCs/>
                <w:kern w:val="0"/>
                <w:sz w:val="24"/>
                <w:szCs w:val="24"/>
                <w:lang w:bidi="ar"/>
              </w:rPr>
              <w:t>内容（4 分）</w:t>
            </w:r>
          </w:p>
          <w:p w14:paraId="233371FF">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提供全面的售后服务，包括定期巡检、维护、升级、技术支持等，服务内容详细、具体，得 3 - 4 分；服务内容基本满足需求，较简略，得 1 - 2 分；服务内容缺失重要项，得 0 - 1 分。</w:t>
            </w:r>
          </w:p>
          <w:p w14:paraId="656035E3">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3、售后</w:t>
            </w:r>
            <w:r>
              <w:rPr>
                <w:rFonts w:hint="eastAsia" w:ascii="宋体" w:hAnsi="宋体" w:eastAsia="宋体" w:cs="宋体"/>
                <w:b/>
                <w:bCs/>
                <w:kern w:val="0"/>
                <w:sz w:val="24"/>
                <w:szCs w:val="24"/>
                <w:lang w:bidi="ar"/>
              </w:rPr>
              <w:t>服务期限（3 分）</w:t>
            </w:r>
          </w:p>
          <w:p w14:paraId="7255607A">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提供较长的免费售后服务期限，且后续服务收费合理，得 2 - 3 分；服务期限较短，收费较高，得 1 分；服务期限不符合要求，得 0 分。</w:t>
            </w:r>
          </w:p>
          <w:p w14:paraId="4CCEB20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4、售后</w:t>
            </w:r>
            <w:r>
              <w:rPr>
                <w:rFonts w:hint="eastAsia" w:ascii="宋体" w:hAnsi="宋体" w:eastAsia="宋体" w:cs="宋体"/>
                <w:b/>
                <w:bCs/>
                <w:kern w:val="0"/>
                <w:sz w:val="24"/>
                <w:szCs w:val="24"/>
                <w:lang w:bidi="ar"/>
              </w:rPr>
              <w:t>服务团队（2 分）</w:t>
            </w:r>
          </w:p>
          <w:p w14:paraId="1423E13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有专业的售后服务团队，具备相关技术资质和经验，团队人员数量和分布合理，得 1 - 2 分；团队整体水平一般，得 0 - 1 分。</w:t>
            </w:r>
          </w:p>
          <w:p w14:paraId="4136477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5、</w:t>
            </w:r>
            <w:r>
              <w:rPr>
                <w:rFonts w:hint="eastAsia" w:ascii="宋体" w:hAnsi="宋体" w:eastAsia="宋体" w:cs="宋体"/>
                <w:b/>
                <w:bCs/>
                <w:kern w:val="0"/>
                <w:sz w:val="24"/>
                <w:szCs w:val="24"/>
                <w:lang w:bidi="ar"/>
              </w:rPr>
              <w:t>培训服务（2 分）</w:t>
            </w:r>
          </w:p>
          <w:p w14:paraId="2F69530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提供完善的培训方案，包括培训内容、培训方式、培训时间等，能确保医院工作人员熟练掌握系统操作和维护技能，得 1 - 2 分；培训方案简单，效果难以保证，得 0 - 1 分。</w:t>
            </w:r>
          </w:p>
        </w:tc>
      </w:tr>
      <w:tr w14:paraId="2DF4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292F56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软件服务能力</w:t>
            </w:r>
          </w:p>
        </w:tc>
        <w:tc>
          <w:tcPr>
            <w:tcW w:w="873" w:type="dxa"/>
            <w:vAlign w:val="center"/>
          </w:tcPr>
          <w:p w14:paraId="11A9CFC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772" w:type="dxa"/>
          </w:tcPr>
          <w:p w14:paraId="5711E0A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软件成熟度（3 分）</w:t>
            </w:r>
          </w:p>
          <w:p w14:paraId="12238239">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所提供的软件产品成熟稳定，在其他</w:t>
            </w:r>
            <w:r>
              <w:rPr>
                <w:rFonts w:hint="eastAsia" w:ascii="宋体" w:hAnsi="宋体" w:cs="宋体"/>
                <w:kern w:val="0"/>
                <w:sz w:val="24"/>
                <w:szCs w:val="24"/>
                <w:lang w:eastAsia="zh-CN" w:bidi="ar"/>
              </w:rPr>
              <w:t>医疗机构</w:t>
            </w:r>
            <w:r>
              <w:rPr>
                <w:rFonts w:hint="eastAsia" w:ascii="宋体" w:hAnsi="宋体" w:eastAsia="宋体" w:cs="宋体"/>
                <w:kern w:val="0"/>
                <w:sz w:val="24"/>
                <w:szCs w:val="24"/>
                <w:lang w:bidi="ar"/>
              </w:rPr>
              <w:t>有成功应用案例，且运行良好，得 2 - 3 分；软件成熟度一般，应用案例较少，得 0 - 1 分。</w:t>
            </w:r>
          </w:p>
          <w:p w14:paraId="23EBC3A7">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软件更新能力（2 分）</w:t>
            </w:r>
          </w:p>
          <w:p w14:paraId="63CD1A1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具备定期更新软件功能和修复漏洞的能力，能及时响应国家政策和行业标准的变化，对软件进行升级完善，得 2 分；更新能力较差，得 1 分。</w:t>
            </w:r>
          </w:p>
        </w:tc>
      </w:tr>
    </w:tbl>
    <w:p w14:paraId="13672979">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EB502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Toc259455689"/>
      <w:bookmarkStart w:id="6" w:name="_Ref467307010"/>
      <w:bookmarkStart w:id="7" w:name="成交供货商候选人的确定标准"/>
      <w:bookmarkStart w:id="8"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5"/>
      <w:bookmarkEnd w:id="6"/>
      <w:bookmarkEnd w:id="7"/>
      <w:bookmarkEnd w:id="8"/>
    </w:p>
    <w:p w14:paraId="0257121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5955AA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720C4F7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4898BA9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0AEF256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910A6C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1CC43F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0714CDD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5E28D6C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7A197B7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5D0EFBE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1C7BA1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424FE07C">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4E841027">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338C33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661CD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A6E7A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p>
    <w:p w14:paraId="1260D44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项目拟向乙方购买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rPr>
        <w:t xml:space="preserve">产品及专项技术服务，双方经过平等协商，在真实、充分地表达各自意愿的基础上，根据《中华人民共和国民法典》的规定，达成如下协议，并由双方共同恪守。  </w:t>
      </w:r>
    </w:p>
    <w:p w14:paraId="023659FB">
      <w:pPr>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b/>
          <w:color w:val="FF0000"/>
          <w:sz w:val="24"/>
          <w:szCs w:val="24"/>
        </w:rPr>
      </w:pPr>
      <w:r>
        <w:rPr>
          <w:rFonts w:hint="eastAsia" w:ascii="宋体" w:hAnsi="宋体" w:eastAsia="宋体" w:cs="宋体"/>
          <w:b/>
          <w:sz w:val="24"/>
          <w:szCs w:val="24"/>
        </w:rPr>
        <w:t>一、产品清单及服务内容</w:t>
      </w:r>
      <w:r>
        <w:rPr>
          <w:rFonts w:hint="eastAsia" w:ascii="宋体" w:hAnsi="宋体" w:eastAsia="宋体" w:cs="宋体"/>
          <w:b/>
          <w:color w:val="FF0000"/>
          <w:sz w:val="24"/>
          <w:szCs w:val="24"/>
        </w:rPr>
        <w:t>（标红字体为示例，请根据合同内容自行填写）</w:t>
      </w:r>
    </w:p>
    <w:tbl>
      <w:tblPr>
        <w:tblStyle w:val="21"/>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1418"/>
        <w:gridCol w:w="832"/>
        <w:gridCol w:w="873"/>
        <w:gridCol w:w="1336"/>
        <w:gridCol w:w="1323"/>
        <w:gridCol w:w="1118"/>
      </w:tblGrid>
      <w:tr w14:paraId="2921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themeFill="background1"/>
            <w:vAlign w:val="center"/>
          </w:tcPr>
          <w:p w14:paraId="6C247EB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序号</w:t>
            </w:r>
          </w:p>
        </w:tc>
        <w:tc>
          <w:tcPr>
            <w:tcW w:w="1833" w:type="dxa"/>
            <w:shd w:val="clear" w:color="auto" w:fill="FFFFFF" w:themeFill="background1"/>
            <w:vAlign w:val="center"/>
          </w:tcPr>
          <w:p w14:paraId="07A27E5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产品</w:t>
            </w:r>
            <w:r>
              <w:rPr>
                <w:rFonts w:hint="eastAsia" w:ascii="宋体" w:hAnsi="宋体" w:eastAsia="宋体" w:cs="宋体"/>
                <w:color w:val="FF0000"/>
                <w:sz w:val="24"/>
                <w:szCs w:val="24"/>
              </w:rPr>
              <w:t>名称</w:t>
            </w:r>
          </w:p>
        </w:tc>
        <w:tc>
          <w:tcPr>
            <w:tcW w:w="1418" w:type="dxa"/>
            <w:shd w:val="clear" w:color="auto" w:fill="FFFFFF" w:themeFill="background1"/>
            <w:vAlign w:val="center"/>
          </w:tcPr>
          <w:p w14:paraId="48FC832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证书号</w:t>
            </w:r>
          </w:p>
        </w:tc>
        <w:tc>
          <w:tcPr>
            <w:tcW w:w="832" w:type="dxa"/>
            <w:shd w:val="clear" w:color="auto" w:fill="FFFFFF" w:themeFill="background1"/>
            <w:vAlign w:val="center"/>
          </w:tcPr>
          <w:p w14:paraId="24FE957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单位</w:t>
            </w:r>
          </w:p>
        </w:tc>
        <w:tc>
          <w:tcPr>
            <w:tcW w:w="873" w:type="dxa"/>
            <w:shd w:val="clear" w:color="auto" w:fill="FFFFFF" w:themeFill="background1"/>
            <w:vAlign w:val="center"/>
          </w:tcPr>
          <w:p w14:paraId="66174DE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数量</w:t>
            </w:r>
          </w:p>
        </w:tc>
        <w:tc>
          <w:tcPr>
            <w:tcW w:w="1336" w:type="dxa"/>
            <w:shd w:val="clear" w:color="auto" w:fill="FFFFFF" w:themeFill="background1"/>
            <w:vAlign w:val="center"/>
          </w:tcPr>
          <w:p w14:paraId="7BEC03F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单价（元）</w:t>
            </w:r>
          </w:p>
        </w:tc>
        <w:tc>
          <w:tcPr>
            <w:tcW w:w="1323" w:type="dxa"/>
            <w:shd w:val="clear" w:color="auto" w:fill="FFFFFF" w:themeFill="background1"/>
            <w:vAlign w:val="center"/>
          </w:tcPr>
          <w:p w14:paraId="38C03CA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总价（元）</w:t>
            </w:r>
          </w:p>
        </w:tc>
        <w:tc>
          <w:tcPr>
            <w:tcW w:w="1118" w:type="dxa"/>
            <w:shd w:val="clear" w:color="auto" w:fill="FFFFFF" w:themeFill="background1"/>
            <w:vAlign w:val="center"/>
          </w:tcPr>
          <w:p w14:paraId="1B44A3A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备注</w:t>
            </w:r>
          </w:p>
        </w:tc>
      </w:tr>
      <w:tr w14:paraId="3255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shd w:val="clear" w:color="auto" w:fill="FFFFFF" w:themeFill="background1"/>
            <w:vAlign w:val="center"/>
          </w:tcPr>
          <w:p w14:paraId="337545E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1</w:t>
            </w:r>
          </w:p>
        </w:tc>
        <w:tc>
          <w:tcPr>
            <w:tcW w:w="1833" w:type="dxa"/>
            <w:shd w:val="clear" w:color="auto" w:fill="FFFFFF" w:themeFill="background1"/>
            <w:vAlign w:val="center"/>
          </w:tcPr>
          <w:p w14:paraId="7185D35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c>
          <w:tcPr>
            <w:tcW w:w="1418" w:type="dxa"/>
            <w:shd w:val="clear" w:color="auto" w:fill="FFFFFF" w:themeFill="background1"/>
            <w:vAlign w:val="center"/>
          </w:tcPr>
          <w:p w14:paraId="06D694E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c>
          <w:tcPr>
            <w:tcW w:w="832" w:type="dxa"/>
            <w:shd w:val="clear" w:color="auto" w:fill="FFFFFF" w:themeFill="background1"/>
            <w:vAlign w:val="center"/>
          </w:tcPr>
          <w:p w14:paraId="42FB011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873" w:type="dxa"/>
            <w:shd w:val="clear" w:color="auto" w:fill="FFFFFF" w:themeFill="background1"/>
            <w:vAlign w:val="center"/>
          </w:tcPr>
          <w:p w14:paraId="0866B2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36" w:type="dxa"/>
            <w:shd w:val="clear" w:color="auto" w:fill="FFFFFF" w:themeFill="background1"/>
            <w:vAlign w:val="center"/>
          </w:tcPr>
          <w:p w14:paraId="60BD959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23" w:type="dxa"/>
            <w:shd w:val="clear" w:color="auto" w:fill="FFFFFF" w:themeFill="background1"/>
            <w:vAlign w:val="center"/>
          </w:tcPr>
          <w:p w14:paraId="23266BC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118" w:type="dxa"/>
            <w:shd w:val="clear" w:color="auto" w:fill="FFFFFF" w:themeFill="background1"/>
            <w:vAlign w:val="center"/>
          </w:tcPr>
          <w:p w14:paraId="35CC7AA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r>
      <w:tr w14:paraId="0F54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themeFill="background1"/>
            <w:vAlign w:val="center"/>
          </w:tcPr>
          <w:p w14:paraId="30992B4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2</w:t>
            </w:r>
          </w:p>
        </w:tc>
        <w:tc>
          <w:tcPr>
            <w:tcW w:w="1833" w:type="dxa"/>
            <w:shd w:val="clear" w:color="auto" w:fill="FFFFFF" w:themeFill="background1"/>
            <w:vAlign w:val="center"/>
          </w:tcPr>
          <w:p w14:paraId="1119883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lang w:val="en-US" w:eastAsia="zh-CN"/>
              </w:rPr>
            </w:pPr>
          </w:p>
        </w:tc>
        <w:tc>
          <w:tcPr>
            <w:tcW w:w="1418" w:type="dxa"/>
            <w:shd w:val="clear" w:color="auto" w:fill="FFFFFF" w:themeFill="background1"/>
            <w:vAlign w:val="center"/>
          </w:tcPr>
          <w:p w14:paraId="380CDAC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lang w:val="en-US" w:eastAsia="zh-CN"/>
              </w:rPr>
            </w:pPr>
          </w:p>
        </w:tc>
        <w:tc>
          <w:tcPr>
            <w:tcW w:w="832" w:type="dxa"/>
            <w:shd w:val="clear" w:color="auto" w:fill="FFFFFF" w:themeFill="background1"/>
            <w:vAlign w:val="center"/>
          </w:tcPr>
          <w:p w14:paraId="49F542A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873" w:type="dxa"/>
            <w:shd w:val="clear" w:color="auto" w:fill="FFFFFF" w:themeFill="background1"/>
            <w:vAlign w:val="center"/>
          </w:tcPr>
          <w:p w14:paraId="64B9A70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36" w:type="dxa"/>
            <w:shd w:val="clear" w:color="auto" w:fill="FFFFFF" w:themeFill="background1"/>
            <w:vAlign w:val="center"/>
          </w:tcPr>
          <w:p w14:paraId="53E8ECC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23" w:type="dxa"/>
            <w:shd w:val="clear" w:color="auto" w:fill="FFFFFF" w:themeFill="background1"/>
            <w:vAlign w:val="center"/>
          </w:tcPr>
          <w:p w14:paraId="55F2315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118" w:type="dxa"/>
            <w:shd w:val="clear" w:color="auto" w:fill="FFFFFF" w:themeFill="background1"/>
            <w:vAlign w:val="center"/>
          </w:tcPr>
          <w:p w14:paraId="395BC10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r>
      <w:tr w14:paraId="74EF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42" w:type="dxa"/>
            <w:gridSpan w:val="8"/>
            <w:tcBorders>
              <w:top w:val="single" w:color="auto" w:sz="6" w:space="0"/>
            </w:tcBorders>
            <w:vAlign w:val="center"/>
          </w:tcPr>
          <w:p w14:paraId="650ACA6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合计人民币（大写）：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元整</w:t>
            </w:r>
          </w:p>
        </w:tc>
      </w:tr>
    </w:tbl>
    <w:p w14:paraId="48AD92DE">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二、产品质量标准</w:t>
      </w:r>
    </w:p>
    <w:p w14:paraId="0C0F8AD4">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乙方保证提供软件产品的最新版本（附产品授权书），其产品规格、技术指标、执行标准等内容，均符合国家、行业相关规定或者符合合同目的的特定标准。</w:t>
      </w:r>
    </w:p>
    <w:p w14:paraId="0489B34E">
      <w:pPr>
        <w:keepNext w:val="0"/>
        <w:keepLines w:val="0"/>
        <w:pageBreakBefore w:val="0"/>
        <w:widowControl w:val="0"/>
        <w:tabs>
          <w:tab w:val="left" w:pos="284"/>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三、收货信息</w:t>
      </w:r>
    </w:p>
    <w:p w14:paraId="40A3B29A">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收货单位：</w:t>
      </w:r>
      <w:r>
        <w:rPr>
          <w:rFonts w:hint="eastAsia" w:ascii="宋体" w:hAnsi="宋体" w:eastAsia="宋体" w:cs="宋体"/>
          <w:sz w:val="24"/>
          <w:szCs w:val="24"/>
          <w:u w:val="single"/>
        </w:rPr>
        <w:t xml:space="preserve">                                </w:t>
      </w:r>
    </w:p>
    <w:p w14:paraId="3F81147B">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收货方式及</w:t>
      </w:r>
      <w:r>
        <w:rPr>
          <w:rFonts w:hint="eastAsia" w:ascii="宋体" w:hAnsi="宋体" w:eastAsia="宋体" w:cs="宋体"/>
          <w:sz w:val="24"/>
          <w:szCs w:val="24"/>
          <w:lang w:val="en-US" w:eastAsia="zh-CN"/>
        </w:rPr>
        <w:t>地址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35BA47B4">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通过QQ交付【注明收货QQ号】；通过邮件交付【注明收货邮箱】；通过邮递交付【注明收货地址】</w:t>
      </w:r>
    </w:p>
    <w:p w14:paraId="323C971E">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0257C6CE">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14:paraId="35F5D995">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甲方变更上述信息，需在货物交付之前书面通知乙方，若因甲方未及时通知乙方而致使甲方无法收到货物，责任由甲方承担，乙方对此不承担任何责任。</w:t>
      </w:r>
    </w:p>
    <w:p w14:paraId="50416BA9">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四、产品交付及风险承担</w:t>
      </w:r>
    </w:p>
    <w:p w14:paraId="6B4C3529">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1、交付时间：乙方应于合同签订之日起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个工作日内交付产品(附产品使用手册)，</w:t>
      </w:r>
    </w:p>
    <w:p w14:paraId="04EDD04A">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（通过QQ方式交付的）</w:t>
      </w:r>
      <w:r>
        <w:rPr>
          <w:rFonts w:hint="eastAsia" w:ascii="宋体" w:hAnsi="宋体" w:eastAsia="宋体" w:cs="宋体"/>
          <w:sz w:val="24"/>
          <w:szCs w:val="24"/>
        </w:rPr>
        <w:t>以乙方向本合同约定的QQ号发送产品之日视为交付之日。</w:t>
      </w:r>
    </w:p>
    <w:p w14:paraId="3F898CAE">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（通过邮件方式交付的）</w:t>
      </w:r>
      <w:r>
        <w:rPr>
          <w:rFonts w:hint="eastAsia" w:ascii="宋体" w:hAnsi="宋体" w:eastAsia="宋体" w:cs="宋体"/>
          <w:sz w:val="24"/>
          <w:szCs w:val="24"/>
        </w:rPr>
        <w:t>以乙方向本合同约定的邮箱发送产品之日视为交付之日。</w:t>
      </w:r>
    </w:p>
    <w:p w14:paraId="0FCCDBBB">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（通过邮递方式交付的）</w:t>
      </w:r>
      <w:r>
        <w:rPr>
          <w:rFonts w:hint="eastAsia" w:ascii="宋体" w:hAnsi="宋体" w:eastAsia="宋体" w:cs="宋体"/>
          <w:sz w:val="24"/>
          <w:szCs w:val="24"/>
        </w:rPr>
        <w:t>以乙方向本合同约定的收货地址发出快递之日起第5日视为交付之日。</w:t>
      </w:r>
    </w:p>
    <w:p w14:paraId="19B57ED3">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2、甲方应在乙方交付产品前准备好系统安装环境并及时通知乙方，由乙方部署人员进行产品安装调试。</w:t>
      </w:r>
    </w:p>
    <w:p w14:paraId="4DADBE63">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3、乙方根据合同约定，在规定的时间内将货物交付甲方指定的交货地点，货物至交货地点前的运输、保管风险由乙方承担；货物到达交货地点后，货物的毁损、灭失风险由甲方承担。</w:t>
      </w:r>
    </w:p>
    <w:p w14:paraId="6385298E">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五、付款方式及发票</w:t>
      </w:r>
    </w:p>
    <w:p w14:paraId="596A142C">
      <w:pPr>
        <w:pStyle w:val="47"/>
        <w:keepNext w:val="0"/>
        <w:keepLines w:val="0"/>
        <w:pageBreakBefore w:val="0"/>
        <w:widowControl w:val="0"/>
        <w:tabs>
          <w:tab w:val="left" w:pos="284"/>
          <w:tab w:val="left" w:pos="600"/>
        </w:tabs>
        <w:kinsoku/>
        <w:wordWrap/>
        <w:overflowPunct/>
        <w:topLinePunct w:val="0"/>
        <w:bidi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1、合同总价款（含税价格）为人民币(大写)：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56AA27">
      <w:pPr>
        <w:keepNext w:val="0"/>
        <w:keepLines w:val="0"/>
        <w:pageBreakBefore w:val="0"/>
        <w:widowControl w:val="0"/>
        <w:kinsoku/>
        <w:wordWrap/>
        <w:overflowPunct/>
        <w:topLinePunct w:val="0"/>
        <w:bidi w:val="0"/>
        <w:spacing w:line="360" w:lineRule="auto"/>
        <w:ind w:left="0" w:firstLine="480" w:firstLineChars="200"/>
        <w:outlineLvl w:val="0"/>
        <w:rPr>
          <w:rFonts w:hint="eastAsia" w:ascii="宋体" w:hAnsi="宋体" w:eastAsia="宋体" w:cs="宋体"/>
          <w:sz w:val="24"/>
          <w:szCs w:val="24"/>
        </w:rPr>
      </w:pPr>
      <w:r>
        <w:rPr>
          <w:rFonts w:hint="eastAsia" w:ascii="宋体" w:hAnsi="宋体" w:eastAsia="宋体" w:cs="宋体"/>
          <w:sz w:val="24"/>
          <w:szCs w:val="24"/>
        </w:rPr>
        <w:t>2、合同总价款由甲方</w:t>
      </w:r>
      <w:r>
        <w:rPr>
          <w:rFonts w:hint="eastAsia" w:ascii="宋体" w:hAnsi="宋体" w:eastAsia="宋体" w:cs="宋体"/>
          <w:color w:val="FF0000"/>
          <w:sz w:val="24"/>
          <w:szCs w:val="24"/>
        </w:rPr>
        <w:t>分期</w:t>
      </w:r>
      <w:r>
        <w:rPr>
          <w:rFonts w:hint="eastAsia" w:ascii="宋体" w:hAnsi="宋体" w:eastAsia="宋体" w:cs="宋体"/>
          <w:sz w:val="24"/>
          <w:szCs w:val="24"/>
        </w:rPr>
        <w:t>支付给乙方。具体支付方式和时间如下：</w:t>
      </w:r>
    </w:p>
    <w:p w14:paraId="3089D7F9">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（1）合同签订后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3021F49D">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验收合格</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6E7366A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保修期满一年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434B9D2F">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3、乙方账户名称、开户银行名称和账号为：</w:t>
      </w:r>
    </w:p>
    <w:p w14:paraId="11CA1D0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账户名称：</w:t>
      </w:r>
    </w:p>
    <w:p w14:paraId="1720AB0B">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开户银行名称：</w:t>
      </w:r>
    </w:p>
    <w:p w14:paraId="7E576243">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6B637798">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4、乙方应向甲方开具与</w:t>
      </w:r>
      <w:r>
        <w:rPr>
          <w:rFonts w:hint="eastAsia" w:ascii="宋体" w:hAnsi="宋体" w:eastAsia="宋体" w:cs="宋体"/>
          <w:sz w:val="24"/>
          <w:szCs w:val="24"/>
        </w:rPr>
        <w:t>应付款项等额的、合法有效的</w:t>
      </w:r>
      <w:r>
        <w:rPr>
          <w:rFonts w:hint="eastAsia" w:ascii="宋体" w:hAnsi="宋体" w:eastAsia="宋体" w:cs="宋体"/>
          <w:kern w:val="0"/>
          <w:sz w:val="24"/>
          <w:szCs w:val="24"/>
          <w:lang w:val="zh-CN"/>
        </w:rPr>
        <w:t>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（专用/普通）</w:t>
      </w:r>
      <w:r>
        <w:rPr>
          <w:rFonts w:hint="eastAsia" w:ascii="宋体" w:hAnsi="宋体" w:eastAsia="宋体" w:cs="宋体"/>
          <w:kern w:val="0"/>
          <w:sz w:val="24"/>
          <w:szCs w:val="24"/>
          <w:lang w:val="zh-CN"/>
        </w:rPr>
        <w:t>发票，甲方开票信息</w:t>
      </w:r>
      <w:r>
        <w:rPr>
          <w:rFonts w:hint="eastAsia" w:ascii="宋体" w:hAnsi="宋体" w:eastAsia="宋体" w:cs="宋体"/>
          <w:kern w:val="0"/>
          <w:sz w:val="24"/>
          <w:szCs w:val="24"/>
        </w:rPr>
        <w:t>如下：</w:t>
      </w:r>
    </w:p>
    <w:p w14:paraId="7F7728C0">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开票名称： </w:t>
      </w:r>
      <w:r>
        <w:rPr>
          <w:rFonts w:hint="eastAsia" w:ascii="宋体" w:hAnsi="宋体" w:eastAsia="宋体" w:cs="宋体"/>
          <w:sz w:val="24"/>
          <w:szCs w:val="24"/>
          <w:u w:val="single"/>
        </w:rPr>
        <w:t xml:space="preserve">                         </w:t>
      </w:r>
    </w:p>
    <w:p w14:paraId="49B1BBD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地址及电话：</w:t>
      </w:r>
      <w:r>
        <w:rPr>
          <w:rFonts w:hint="eastAsia" w:ascii="宋体" w:hAnsi="宋体" w:eastAsia="宋体" w:cs="宋体"/>
          <w:sz w:val="24"/>
          <w:szCs w:val="24"/>
          <w:u w:val="single"/>
        </w:rPr>
        <w:t xml:space="preserve">                        </w:t>
      </w:r>
    </w:p>
    <w:p w14:paraId="27E54BAF">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税      号： </w:t>
      </w:r>
      <w:r>
        <w:rPr>
          <w:rFonts w:hint="eastAsia" w:ascii="宋体" w:hAnsi="宋体" w:eastAsia="宋体" w:cs="宋体"/>
          <w:sz w:val="24"/>
          <w:szCs w:val="24"/>
          <w:u w:val="single"/>
        </w:rPr>
        <w:t xml:space="preserve">                       </w:t>
      </w:r>
    </w:p>
    <w:p w14:paraId="6370D358">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开户行及账号：</w:t>
      </w:r>
      <w:r>
        <w:rPr>
          <w:rFonts w:hint="eastAsia" w:ascii="宋体" w:hAnsi="宋体" w:eastAsia="宋体" w:cs="宋体"/>
          <w:sz w:val="24"/>
          <w:szCs w:val="24"/>
          <w:u w:val="single"/>
        </w:rPr>
        <w:t xml:space="preserve">                      </w:t>
      </w:r>
    </w:p>
    <w:p w14:paraId="7B8F78F8">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六、甲乙双方权利义务</w:t>
      </w:r>
    </w:p>
    <w:p w14:paraId="3ABBA3B5">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甲方：</w:t>
      </w:r>
    </w:p>
    <w:p w14:paraId="361951B0">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1、甲方有权对项目实施进度的执行情况进行监督。</w:t>
      </w:r>
    </w:p>
    <w:p w14:paraId="032B8A75">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sz w:val="24"/>
          <w:szCs w:val="24"/>
        </w:rPr>
        <w:t>甲方应在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个工作日内向乙方提供与本项目建设相关的电子资料或书面资料，并对其提供的数据信息真实性承担责任。</w:t>
      </w:r>
    </w:p>
    <w:p w14:paraId="7ED93942">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3、网站内容所有权归用户方所有，甲方应采取措施保证发布资料的合法性，因对资料审核不严格所造成的不良影响由甲方负责。</w:t>
      </w:r>
    </w:p>
    <w:p w14:paraId="6D1BE73D">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4、甲方应提供乙方产品所需的安装环境，确保满足乙方产品运行环境的需求，并为乙方工作人员的服务提供便利的工作条件。</w:t>
      </w:r>
    </w:p>
    <w:p w14:paraId="3BE8A615">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u w:val="single"/>
        </w:rPr>
      </w:pPr>
      <w:r>
        <w:rPr>
          <w:rFonts w:hint="eastAsia" w:ascii="宋体" w:hAnsi="宋体" w:eastAsia="宋体" w:cs="宋体"/>
          <w:sz w:val="24"/>
          <w:szCs w:val="24"/>
        </w:rPr>
        <w:t>5、在产品安装调试时如牵涉到第三方的配合，甲方应负责协调第三方配合工作，以确保产品的顺利安装和正常使用。</w:t>
      </w:r>
    </w:p>
    <w:p w14:paraId="50ECFD52">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6、甲方应根据合同约定，按时向乙方支付相应的款项。</w:t>
      </w:r>
    </w:p>
    <w:p w14:paraId="6EA5D6E3">
      <w:pPr>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sz w:val="24"/>
          <w:szCs w:val="24"/>
          <w:u w:val="single"/>
        </w:rPr>
      </w:pPr>
      <w:r>
        <w:rPr>
          <w:rFonts w:hint="eastAsia" w:ascii="宋体" w:hAnsi="宋体" w:eastAsia="宋体" w:cs="宋体"/>
          <w:b/>
          <w:snapToGrid w:val="0"/>
          <w:kern w:val="0"/>
          <w:sz w:val="24"/>
          <w:szCs w:val="24"/>
        </w:rPr>
        <w:t>乙方：</w:t>
      </w:r>
    </w:p>
    <w:p w14:paraId="3B7FDC4F">
      <w:pPr>
        <w:keepNext w:val="0"/>
        <w:keepLines w:val="0"/>
        <w:pageBreakBefore w:val="0"/>
        <w:widowControl w:val="0"/>
        <w:kinsoku/>
        <w:wordWrap/>
        <w:overflowPunct/>
        <w:topLinePunct w:val="0"/>
        <w:bidi w:val="0"/>
        <w:adjustRightInd w:val="0"/>
        <w:spacing w:line="360" w:lineRule="auto"/>
        <w:ind w:left="0"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甲方迟延付款超过10日，并经乙方催告后仍不履行付款义务的，乙方有权暂停向甲方提供包括但不限于产品的使用许可及紧急援助的服务，并有权追究甲方的违约责任。</w:t>
      </w:r>
    </w:p>
    <w:p w14:paraId="05756AE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2、乙方应在合同签订后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个工作日内完成产品及项目成果交付。</w:t>
      </w:r>
    </w:p>
    <w:p w14:paraId="01EB07D3">
      <w:pPr>
        <w:keepNext w:val="0"/>
        <w:keepLines w:val="0"/>
        <w:pageBreakBefore w:val="0"/>
        <w:widowControl w:val="0"/>
        <w:kinsoku/>
        <w:wordWrap/>
        <w:overflowPunct/>
        <w:topLinePunct w:val="0"/>
        <w:bidi w:val="0"/>
        <w:spacing w:line="360" w:lineRule="auto"/>
        <w:ind w:left="0" w:firstLine="472" w:firstLineChars="200"/>
        <w:rPr>
          <w:rFonts w:hint="eastAsia" w:ascii="宋体" w:hAnsi="宋体" w:eastAsia="宋体" w:cs="宋体"/>
          <w:iCs/>
          <w:sz w:val="24"/>
          <w:szCs w:val="24"/>
          <w:shd w:val="pct10" w:color="auto" w:fill="FFFFFF"/>
        </w:rPr>
      </w:pPr>
      <w:r>
        <w:rPr>
          <w:rFonts w:hint="eastAsia" w:ascii="宋体" w:hAnsi="宋体" w:eastAsia="宋体" w:cs="宋体"/>
          <w:snapToGrid w:val="0"/>
          <w:spacing w:val="-2"/>
          <w:kern w:val="0"/>
          <w:sz w:val="24"/>
          <w:szCs w:val="24"/>
        </w:rPr>
        <w:t>3、乙方应提前通知甲方产品交付运行所需的安装环境。</w:t>
      </w:r>
    </w:p>
    <w:p w14:paraId="0488EB8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baseline"/>
        <w:rPr>
          <w:rFonts w:hint="eastAsia" w:ascii="宋体" w:hAnsi="宋体" w:eastAsia="宋体" w:cs="宋体"/>
          <w:iCs/>
          <w:kern w:val="0"/>
          <w:sz w:val="24"/>
          <w:szCs w:val="24"/>
        </w:rPr>
      </w:pPr>
      <w:r>
        <w:rPr>
          <w:rFonts w:hint="eastAsia" w:ascii="宋体" w:hAnsi="宋体" w:eastAsia="宋体" w:cs="宋体"/>
          <w:iCs/>
          <w:kern w:val="0"/>
          <w:sz w:val="24"/>
          <w:szCs w:val="24"/>
        </w:rPr>
        <w:t>4、乙方应配合甲方对产品进行调试，以确保产品的正常使用。</w:t>
      </w:r>
    </w:p>
    <w:p w14:paraId="0425B3AF">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七、项目联系人</w:t>
      </w:r>
    </w:p>
    <w:p w14:paraId="25889571">
      <w:pPr>
        <w:keepNext w:val="0"/>
        <w:keepLines w:val="0"/>
        <w:pageBreakBefore w:val="0"/>
        <w:widowControl w:val="0"/>
        <w:tabs>
          <w:tab w:val="left" w:pos="14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。项目联系人承担以下责任：</w:t>
      </w:r>
    </w:p>
    <w:p w14:paraId="3BFF0DF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1、甲方项目联系人负责与乙方协调项目过程中的所有事宜，配合乙方完成验收、款项支付、培训工作，签收、确认相关文件。</w:t>
      </w:r>
    </w:p>
    <w:p w14:paraId="276F262B">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2、乙方项目联系人负责提供相关文档，协助甲方完成测试、验收、培训工作。一方变更项目联系人的，应当提前3日以书面形式通知另一方。未及时通知并影响本合同履行或造成损失的，应承担相应的责任。</w:t>
      </w:r>
    </w:p>
    <w:p w14:paraId="1AA798D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八、验收标准及方式</w:t>
      </w:r>
    </w:p>
    <w:p w14:paraId="1F45301F">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u w:val="single"/>
        </w:rPr>
      </w:pPr>
      <w:r>
        <w:rPr>
          <w:rFonts w:hint="eastAsia" w:ascii="宋体" w:hAnsi="宋体" w:eastAsia="宋体" w:cs="宋体"/>
          <w:sz w:val="24"/>
          <w:szCs w:val="24"/>
        </w:rPr>
        <w:t>1、技术服务工作成果的验收标准：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p>
    <w:p w14:paraId="5DFCB2B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2、验收期：自网站正式运行之日起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日内，由乙方向甲方提出验收申请，甲方须在验收期内进行验收。</w:t>
      </w:r>
    </w:p>
    <w:p w14:paraId="4D09D347">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3、根据双方约定的验收标准，甲方组织双方以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none"/>
        </w:rPr>
        <w:t>（现场/远程/普通/专家验收）</w:t>
      </w:r>
      <w:r>
        <w:rPr>
          <w:rFonts w:hint="eastAsia" w:ascii="宋体" w:hAnsi="宋体" w:eastAsia="宋体" w:cs="宋体"/>
          <w:sz w:val="24"/>
          <w:szCs w:val="24"/>
        </w:rPr>
        <w:t>方式进行验收，确定产品质量无误且网站运行正常后，由甲方向乙方出具加盖公章的《产品验收报告》和《验收报告》。</w:t>
      </w:r>
    </w:p>
    <w:p w14:paraId="6E4F9B60">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、因甲方自身原因没有进行验收或在接到乙方申请之日起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内未提出异议、也未出具加盖公章的《产品验收报告》及《验收报告》的，视为产品质量无误且项目验收合格。</w:t>
      </w:r>
    </w:p>
    <w:p w14:paraId="57DF43A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九、保修期限、售后服务及技术培训</w:t>
      </w:r>
    </w:p>
    <w:p w14:paraId="4711FBD4">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1、保修期限：自项目验收合格之日起，乙方负责对项目提供免费</w:t>
      </w:r>
      <w:r>
        <w:rPr>
          <w:rFonts w:hint="eastAsia" w:ascii="宋体" w:hAnsi="宋体" w:eastAsia="宋体" w:cs="宋体"/>
          <w:sz w:val="24"/>
          <w:szCs w:val="24"/>
          <w:highlight w:val="none"/>
        </w:rPr>
        <w:t>保修服务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7F79758C">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2、保修服务范围及要求：</w:t>
      </w:r>
    </w:p>
    <w:tbl>
      <w:tblPr>
        <w:tblStyle w:val="21"/>
        <w:tblW w:w="9442" w:type="dxa"/>
        <w:tblInd w:w="-85" w:type="dxa"/>
        <w:tblLayout w:type="autofit"/>
        <w:tblCellMar>
          <w:top w:w="0" w:type="dxa"/>
          <w:left w:w="108" w:type="dxa"/>
          <w:bottom w:w="0" w:type="dxa"/>
          <w:right w:w="108" w:type="dxa"/>
        </w:tblCellMar>
      </w:tblPr>
      <w:tblGrid>
        <w:gridCol w:w="1725"/>
        <w:gridCol w:w="7717"/>
      </w:tblGrid>
      <w:tr w14:paraId="709CC178">
        <w:tblPrEx>
          <w:tblCellMar>
            <w:top w:w="0" w:type="dxa"/>
            <w:left w:w="108" w:type="dxa"/>
            <w:bottom w:w="0" w:type="dxa"/>
            <w:right w:w="108" w:type="dxa"/>
          </w:tblCellMar>
        </w:tblPrEx>
        <w:trPr>
          <w:trHeight w:val="45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6E97E4D4">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7717"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69A2F54F">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服务描述</w:t>
            </w:r>
          </w:p>
        </w:tc>
      </w:tr>
      <w:tr w14:paraId="3ED3251D">
        <w:tblPrEx>
          <w:tblCellMar>
            <w:top w:w="0" w:type="dxa"/>
            <w:left w:w="108" w:type="dxa"/>
            <w:bottom w:w="0" w:type="dxa"/>
            <w:right w:w="108" w:type="dxa"/>
          </w:tblCellMar>
        </w:tblPrEx>
        <w:trPr>
          <w:trHeight w:val="3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ADF">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7*24小时</w:t>
            </w:r>
          </w:p>
          <w:p w14:paraId="712C7F3A">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技术支持服务</w:t>
            </w:r>
          </w:p>
        </w:tc>
        <w:tc>
          <w:tcPr>
            <w:tcW w:w="7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2AE2">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提供7天×24小时×365天的电话支持服务，包括节假日，非工作时间均可通过电话进行各类常见问题疑难解答，问题咨询，产品使用指导等</w:t>
            </w:r>
          </w:p>
        </w:tc>
      </w:tr>
    </w:tbl>
    <w:p w14:paraId="0F7ACDE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2.1在甲方使用过程中，如乙方产品及网站出现故障引起停止运行、自动报错等问题，乙方保证在（接到通知后的）24小时内及时响应、无偿解决。</w:t>
      </w:r>
    </w:p>
    <w:p w14:paraId="1D7BC80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2.2甲方如果要求乙方超出本协议约定的范围提供软件服务或维护服务（包括但不限于定制开发、网站安全检测），甲方应与乙方另行协商签署相关协议，并向乙方支付相应的服务费用。</w:t>
      </w:r>
    </w:p>
    <w:p w14:paraId="7A7E09E4">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如果发现因不可归责于乙方原因造成许可软件故障，包括但不限于故障是由未经乙方许可对许可软件功能进行修改、甲方人员非法操作、计算机设备感染病毒或第三方产品的故障、计算机设备故障、网络故障造成的，乙方可协助甲方排除上述故障，甲方应按照乙方当时有效的收费标准向乙方支付服务费。</w:t>
      </w:r>
    </w:p>
    <w:p w14:paraId="3B110AEC">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3、免费保修期满后，如需乙方继续提供系统维护服务，甲方应与乙方另行签订维保服务协议，维保服务内容详见附件三。若免费保修期内，甲方有意向选购维保服务的，则需向乙方支付相应的维保服务费用。</w:t>
      </w:r>
    </w:p>
    <w:p w14:paraId="06F0F7C2">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若乙方产品在结构、平台、功能上有重大变化的升级，其升级费用由双方协商确定，乙方提供优惠的升级费用和良好的服务。</w:t>
      </w:r>
    </w:p>
    <w:p w14:paraId="5BE69864">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免费保修期内，甲方需要乙方完成以下服务内容的，乙方应先向甲方提供相关服务，甲方以自然年为周期向乙方支付对应的服务费用。</w:t>
      </w:r>
    </w:p>
    <w:p w14:paraId="5C099D64">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产品交付后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个月内，乙方应向甲方提供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次免费的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（现场或远程）</w:t>
      </w:r>
      <w:r>
        <w:rPr>
          <w:rFonts w:hint="eastAsia" w:ascii="宋体" w:hAnsi="宋体" w:eastAsia="宋体" w:cs="宋体"/>
          <w:sz w:val="24"/>
          <w:szCs w:val="24"/>
        </w:rPr>
        <w:t>技术培训，培训内容包括：软件及网站的使用、日常维护方法等。</w:t>
      </w:r>
    </w:p>
    <w:p w14:paraId="671DA81D">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十、知识产权</w:t>
      </w:r>
    </w:p>
    <w:p w14:paraId="0C2C8D35">
      <w:pPr>
        <w:keepNext w:val="0"/>
        <w:keepLines w:val="0"/>
        <w:pageBreakBefore w:val="0"/>
        <w:widowControl w:val="0"/>
        <w:numPr>
          <w:ilvl w:val="0"/>
          <w:numId w:val="3"/>
        </w:numPr>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非因本合同而产生的知识产权，归属依法已经拥有该权利的一方所有。除非另有约定，任何一方均不可凭借本合同取得另一方所拥有的著作权、专利权、商标权或任何其他知识产权。</w:t>
      </w:r>
    </w:p>
    <w:p w14:paraId="047D6854">
      <w:pPr>
        <w:keepNext w:val="0"/>
        <w:keepLines w:val="0"/>
        <w:pageBreakBefore w:val="0"/>
        <w:widowControl w:val="0"/>
        <w:numPr>
          <w:ilvl w:val="0"/>
          <w:numId w:val="3"/>
        </w:numPr>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甲方不得出租、出借、拷贝、仿冒、复制或修改乙方软件任何部分或用于其他任何商业目的，也不得将该软件做反向工程、反編译或反汇编，或以其他方式或工具取得乙方软件之目标程序或源代码。</w:t>
      </w:r>
    </w:p>
    <w:p w14:paraId="4E715ACA">
      <w:pPr>
        <w:keepNext w:val="0"/>
        <w:keepLines w:val="0"/>
        <w:pageBreakBefore w:val="0"/>
        <w:widowControl w:val="0"/>
        <w:numPr>
          <w:ilvl w:val="0"/>
          <w:numId w:val="3"/>
        </w:numPr>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保证甲方在使用其提供的产品时不受到第三方关于侵犯专利权、商标权、外观设计或工业设计权等知识产权的指控。如因乙方原因，甲方受到第三方指控或对甲方造成其他不利后果的，造成的损失由乙方承担。</w:t>
      </w:r>
    </w:p>
    <w:p w14:paraId="05C05DC9">
      <w:pPr>
        <w:pStyle w:val="47"/>
        <w:keepNext w:val="0"/>
        <w:keepLines w:val="0"/>
        <w:pageBreakBefore w:val="0"/>
        <w:widowControl w:val="0"/>
        <w:numPr>
          <w:ilvl w:val="0"/>
          <w:numId w:val="3"/>
        </w:numPr>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在本合同有效期内，甲方利用乙方提交的技术服务工作成果所完成的新的技术成果，归</w:t>
      </w:r>
      <w:r>
        <w:rPr>
          <w:rFonts w:hint="eastAsia" w:ascii="宋体" w:hAnsi="宋体" w:eastAsia="宋体" w:cs="宋体"/>
          <w:sz w:val="24"/>
          <w:szCs w:val="24"/>
          <w:u w:val="single"/>
        </w:rPr>
        <w:t xml:space="preserve"> 甲 </w:t>
      </w:r>
      <w:r>
        <w:rPr>
          <w:rFonts w:hint="eastAsia" w:ascii="宋体" w:hAnsi="宋体" w:eastAsia="宋体" w:cs="宋体"/>
          <w:sz w:val="24"/>
          <w:szCs w:val="24"/>
        </w:rPr>
        <w:t>方所有。</w:t>
      </w:r>
    </w:p>
    <w:p w14:paraId="735E1E27">
      <w:pPr>
        <w:keepNext w:val="0"/>
        <w:keepLines w:val="0"/>
        <w:pageBreakBefore w:val="0"/>
        <w:widowControl w:val="0"/>
        <w:tabs>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十一、保密条款</w:t>
      </w:r>
    </w:p>
    <w:p w14:paraId="2D25E700">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保密信息是指甲、乙方各自专有的信息，包括但不限于本合同（金额、内容等）、许可软件、技术数据、资料文档等。甲乙双方承认保密信息构成有价值的商业秘密，双方同意严格按照本合同的规定使用对方的保密信息，未经对方的事先书面许可，不得向第三方，或允许向第三方直接或间接地透露保密信息。</w:t>
      </w:r>
    </w:p>
    <w:p w14:paraId="4B4407A6">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2、违反本条规定，给对方造成损失的，违约方应承担相应的赔偿责任，但是一方依据法律、法规、其他监管规定或应法院等有权机关之要求披露保密信息的情形除外。</w:t>
      </w:r>
    </w:p>
    <w:p w14:paraId="279E3C2C">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3、无论本合同变更、解除或终止，本条款保持有效。</w:t>
      </w:r>
    </w:p>
    <w:p w14:paraId="33F6816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十二、违约责任</w:t>
      </w:r>
    </w:p>
    <w:p w14:paraId="0D41565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1、甲方责任：</w:t>
      </w:r>
    </w:p>
    <w:p w14:paraId="5046A51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1.1 本合同签订后，甲方无正当理由单方面终止合同的，乙方不退还甲方已给付的所有款项，并由甲方向乙方支付合同总价款30%的违约金。</w:t>
      </w:r>
    </w:p>
    <w:p w14:paraId="04E94D21">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1.2 未按项目要求提供相应的工作环境或条件、未按时提供系统数据而造成的延期。</w:t>
      </w:r>
    </w:p>
    <w:p w14:paraId="409F9720">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1.3 因需求变更或某些功能的需求不确定使得项目不能按时完成而造成的延期。</w:t>
      </w:r>
    </w:p>
    <w:p w14:paraId="1F1493DD">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甲方出现上述第1.2、1.3情形的，乙方网站建设工期顺延，不承担违约责任。</w:t>
      </w:r>
    </w:p>
    <w:p w14:paraId="577FD5E7">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1.4 甲方不按合同约定付款的，每逾期一日，应按合同总价款的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%向乙方支付违约金，最高不超过合同总价款的5%。</w:t>
      </w:r>
    </w:p>
    <w:p w14:paraId="1BED5239">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2、乙方责任：</w:t>
      </w:r>
    </w:p>
    <w:p w14:paraId="71656DF9">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2.1本合同签订后，乙方无正当理由单方面终止合同的，乙方除退还甲方已给付的所有款项之外，还须向甲方支付合同总价款30%的违约金。</w:t>
      </w:r>
    </w:p>
    <w:p w14:paraId="2B08CCF5">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2.2因乙方原因导致工期延误的，每逾期一日，应按合同总价款的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%向甲方支付违约金，最高不超过合同总价款的5%。因甲方原因（如变更技术服务要求等）导致的工期延误不视为乙方违约。</w:t>
      </w:r>
    </w:p>
    <w:p w14:paraId="6B244CC4">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十三、不可抗力</w:t>
      </w:r>
    </w:p>
    <w:p w14:paraId="6546297C">
      <w:pPr>
        <w:keepNext w:val="0"/>
        <w:keepLines w:val="0"/>
        <w:pageBreakBefore w:val="0"/>
        <w:widowControl w:val="0"/>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若甲、乙双方任何一方由于不可抗拒的原因造成本合同不能正常履行的，应及时向对方通报，在阐述理由、取得有权机关出具的证明、得到对方认可后，本合同可延期履行、部分履行或终止履行，根据实际情况，可部分或全部免除违约责任。</w:t>
      </w:r>
    </w:p>
    <w:p w14:paraId="1E1A2586">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十四、</w:t>
      </w:r>
      <w:r>
        <w:rPr>
          <w:rFonts w:hint="eastAsia" w:ascii="宋体" w:hAnsi="宋体" w:eastAsia="宋体" w:cs="宋体"/>
          <w:sz w:val="24"/>
          <w:szCs w:val="24"/>
        </w:rPr>
        <w:t>甲乙双方可就本合同未尽事宜签订补充、变更协议，补充、变更协议与本合同具有同等法律效力。</w:t>
      </w:r>
    </w:p>
    <w:p w14:paraId="0565C800">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十五、争议解决方式</w:t>
      </w:r>
    </w:p>
    <w:p w14:paraId="0F262CA0">
      <w:pPr>
        <w:keepNext w:val="0"/>
        <w:keepLines w:val="0"/>
        <w:pageBreakBefore w:val="0"/>
        <w:widowControl w:val="0"/>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bookmarkStart w:id="9" w:name="_Hlk31709859"/>
      <w:r>
        <w:rPr>
          <w:rFonts w:hint="eastAsia" w:ascii="宋体" w:hAnsi="宋体" w:eastAsia="宋体" w:cs="宋体"/>
          <w:sz w:val="24"/>
          <w:szCs w:val="24"/>
        </w:rPr>
        <w:t>合同双方因履行本合同而发生的争议，双方以友好协商的原则妥善解决；协商不成时，依法向</w:t>
      </w:r>
      <w:r>
        <w:rPr>
          <w:rFonts w:hint="eastAsia" w:ascii="宋体" w:hAnsi="宋体" w:eastAsia="宋体" w:cs="宋体"/>
          <w:sz w:val="24"/>
          <w:szCs w:val="24"/>
          <w:u w:val="single"/>
        </w:rPr>
        <w:t>原告所在地</w:t>
      </w:r>
      <w:r>
        <w:rPr>
          <w:rFonts w:hint="eastAsia" w:ascii="宋体" w:hAnsi="宋体" w:eastAsia="宋体" w:cs="宋体"/>
          <w:sz w:val="24"/>
          <w:szCs w:val="24"/>
        </w:rPr>
        <w:t>人民法院起诉解决。</w:t>
      </w:r>
    </w:p>
    <w:bookmarkEnd w:id="9"/>
    <w:p w14:paraId="63D11F07">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十六、合同生效时间及其他事项</w:t>
      </w:r>
    </w:p>
    <w:p w14:paraId="1310B486">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sz w:val="24"/>
          <w:szCs w:val="24"/>
        </w:rPr>
      </w:pPr>
      <w:bookmarkStart w:id="10" w:name="_Hlk31709902"/>
      <w:r>
        <w:rPr>
          <w:rFonts w:hint="eastAsia" w:ascii="宋体" w:hAnsi="宋体" w:eastAsia="宋体" w:cs="宋体"/>
          <w:sz w:val="24"/>
          <w:szCs w:val="24"/>
        </w:rPr>
        <w:t>1、本合同自甲乙双方签订之日起生效，如甲乙双方签字盖章日期不同，则合同生效日以两个日期中较晚的一个为准。</w:t>
      </w:r>
    </w:p>
    <w:p w14:paraId="7CD70202">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份，乙方执贰份，具有同等法律效力。</w:t>
      </w:r>
    </w:p>
    <w:p w14:paraId="5122C5DB">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sz w:val="24"/>
          <w:szCs w:val="24"/>
        </w:rPr>
        <w:t>3、本合同约定的双方地址、联系人、电话等，均为双方在合同履行中用于信息对接、沟通以及司法机关文书材料等送达的有效信息，书面材料一经邮寄成功即视为有效送达，如一方发生变更，须提前十日告知另一方，否则视为未变更。</w:t>
      </w:r>
      <w:bookmarkEnd w:id="10"/>
    </w:p>
    <w:p w14:paraId="57E59ED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350E709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eastAsia="宋体" w:cs="宋体"/>
          <w:color w:val="000000"/>
          <w:sz w:val="24"/>
          <w:szCs w:val="24"/>
          <w:lang w:val="en-US" w:eastAsia="zh-CN"/>
        </w:rPr>
        <w:t>属医院</w:t>
      </w:r>
    </w:p>
    <w:p w14:paraId="4933748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EABBE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7B96B38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216ADA6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3F80772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lang w:val="en-US" w:eastAsia="zh-CN"/>
        </w:rPr>
        <w:t xml:space="preserve">    </w:t>
      </w:r>
    </w:p>
    <w:p w14:paraId="3D008F4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42CBE8A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115257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0BBF1DB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240FD13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4C7C5C2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sectPr>
          <w:headerReference r:id="rId15" w:type="first"/>
          <w:footerReference r:id="rId16"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eastAsia="宋体" w:cs="宋体"/>
          <w:color w:val="000000"/>
          <w:sz w:val="24"/>
          <w:szCs w:val="24"/>
          <w:lang w:val="en-US" w:eastAsia="zh-CN"/>
        </w:rPr>
        <w:t xml:space="preserve">  日</w:t>
      </w:r>
    </w:p>
    <w:p w14:paraId="5056E20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59CD62BE">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E2872F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5A4D166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35C4D2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0B1BF9E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0E4FBEFE">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409760F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7"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7DCCCB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7BCE8CA">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SZRFYZB202412-229</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5373E4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A10053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B7FC5F5">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A6EF593">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AD5F08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A07C5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咸阳智慧医疗平台接口改造项目</w:t>
      </w:r>
    </w:p>
    <w:p w14:paraId="63C72317">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BAAF43A">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FF9734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15D2B24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DEB766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1EDAB1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63EDA3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13BED815">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48D405AF">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1123523">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1F26CB3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4332EE54">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38A72ED9">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51D35A8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0524795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11E3DA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6C400FF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311E94B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3EB2A24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1AACE1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49CE13B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1E889CE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045AFA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78117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6DC23C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649E219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50A6E0F2">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11F36EC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4C6895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4AB77D8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CCBB23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972B48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AB991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E36202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42B439D">
      <w:pPr>
        <w:pStyle w:val="9"/>
        <w:rPr>
          <w:rStyle w:val="32"/>
          <w:rFonts w:hint="eastAsia" w:ascii="宋体" w:hAnsi="宋体" w:eastAsia="宋体" w:cs="宋体"/>
          <w:color w:val="000000"/>
          <w:kern w:val="0"/>
          <w:sz w:val="24"/>
          <w:szCs w:val="24"/>
          <w:highlight w:val="none"/>
        </w:rPr>
      </w:pPr>
    </w:p>
    <w:p w14:paraId="10F14D4C">
      <w:pPr>
        <w:rPr>
          <w:rStyle w:val="32"/>
          <w:rFonts w:hint="eastAsia" w:ascii="宋体" w:hAnsi="宋体" w:eastAsia="宋体" w:cs="宋体"/>
          <w:color w:val="000000"/>
          <w:kern w:val="0"/>
          <w:sz w:val="24"/>
          <w:szCs w:val="24"/>
          <w:highlight w:val="none"/>
        </w:rPr>
      </w:pPr>
    </w:p>
    <w:p w14:paraId="7746DA28">
      <w:pPr>
        <w:pStyle w:val="9"/>
        <w:rPr>
          <w:rStyle w:val="32"/>
          <w:rFonts w:hint="eastAsia" w:ascii="宋体" w:hAnsi="宋体" w:eastAsia="宋体" w:cs="宋体"/>
          <w:color w:val="000000"/>
          <w:kern w:val="0"/>
          <w:sz w:val="24"/>
          <w:szCs w:val="24"/>
          <w:highlight w:val="none"/>
        </w:rPr>
      </w:pPr>
    </w:p>
    <w:p w14:paraId="29B108D8">
      <w:pPr>
        <w:rPr>
          <w:rFonts w:hint="eastAsia"/>
        </w:rPr>
      </w:pPr>
    </w:p>
    <w:p w14:paraId="0AC6882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56332A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E2F0B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2DBEA493">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43B68D5C">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咸阳智慧医疗平台接口改造项目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SZRFYZB202412-229</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42B04B4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425360E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52B27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57EB217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67E111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6859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440B6E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73C58D2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FA9C50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2F65AE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20EF71D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1AF5388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07E02EC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18196BB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6B23EC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1650CE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63ED78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53FB91DE">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2CB9AE65">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1" w:name="_Toc188808840"/>
      <w:bookmarkStart w:id="12" w:name="_Toc193187105"/>
      <w:bookmarkStart w:id="13" w:name="_Toc194663926"/>
      <w:bookmarkStart w:id="14"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p>
    <w:p w14:paraId="73CFDF12">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51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3E1081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315833F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1C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6E92B6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19EA32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17AE46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57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72A8CE5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工期（日历日）</w:t>
            </w:r>
          </w:p>
        </w:tc>
        <w:tc>
          <w:tcPr>
            <w:tcW w:w="6729" w:type="dxa"/>
            <w:noWrap w:val="0"/>
            <w:vAlign w:val="center"/>
          </w:tcPr>
          <w:p w14:paraId="217E43F3">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534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64F299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4543A10A">
      <w:pPr>
        <w:pStyle w:val="11"/>
        <w:spacing w:line="360" w:lineRule="auto"/>
        <w:ind w:firstLine="480" w:firstLineChars="200"/>
        <w:rPr>
          <w:rFonts w:hint="eastAsia" w:ascii="宋体" w:hAnsi="宋体" w:eastAsia="宋体" w:cs="宋体"/>
          <w:b w:val="0"/>
          <w:bCs w:val="0"/>
          <w:color w:val="auto"/>
          <w:kern w:val="0"/>
          <w:sz w:val="24"/>
          <w:szCs w:val="24"/>
          <w:shd w:val="clear" w:color="auto" w:fill="auto"/>
          <w:lang w:val="en-US" w:eastAsia="zh-CN" w:bidi="ar"/>
        </w:rPr>
      </w:pPr>
    </w:p>
    <w:p w14:paraId="0DC7A0DF">
      <w:pPr>
        <w:pStyle w:val="11"/>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eastAsia" w:ascii="宋体" w:hAnsi="宋体" w:eastAsia="宋体" w:cs="宋体"/>
          <w:sz w:val="24"/>
          <w:szCs w:val="24"/>
          <w:highlight w:val="none"/>
        </w:rPr>
        <w:t>相关的接口费、人工费、管理费、税费、培训等完成本项目所需的一切费用，采购人不再支付任何费用；报价估算错误等引起的风险由</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自行承担。</w:t>
      </w:r>
    </w:p>
    <w:p w14:paraId="49C61937">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0E4E7595">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6B461C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6A56C9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5ECFEB46">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03156EA8">
      <w:pPr>
        <w:pStyle w:val="20"/>
        <w:rPr>
          <w:rFonts w:hint="eastAsia" w:ascii="宋体" w:hAnsi="宋体" w:eastAsia="宋体" w:cs="宋体"/>
          <w:sz w:val="24"/>
          <w:szCs w:val="24"/>
          <w:highlight w:val="none"/>
          <w:lang w:val="en-US" w:eastAsia="zh-CN"/>
        </w:rPr>
      </w:pPr>
    </w:p>
    <w:p w14:paraId="6F9AC316">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75BC9C5">
      <w:pPr>
        <w:rPr>
          <w:rFonts w:hint="eastAsia"/>
          <w:lang w:val="en-US" w:eastAsia="zh-CN"/>
        </w:rPr>
      </w:pPr>
    </w:p>
    <w:p w14:paraId="443836DF">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2CA44971">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p>
    <w:p w14:paraId="32E9E16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4A433594">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7E8947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11053D3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32DCA5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B57504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8E806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27E7CA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DCFFC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23F9AD3">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9C2698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1DE023C">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D1016D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1BE936E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8F651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6970F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1E26B6F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AFCABA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395B98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A7781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E454EF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372C02C">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6FF725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0AF271C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308F13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1108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7E6F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9673A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B64CEC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20898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E205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51C750D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3637140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26E1739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050E56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585D5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65071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2A8CC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C08F8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1ED03B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E2F9B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B7DF533">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2DA80E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F178BD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30D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63828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934264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448D34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7BE4AA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91ED91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1E7D66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9A4AC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0FC775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3C4741A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99088A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E94C2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DD8B84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9F19C6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AA618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CC49B5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8CE5D9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02A234C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20935E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27C4CDC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19A2EBA0">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74DCA6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CC5EAB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1D1FE988">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A50846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0870318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47530B93">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2F5543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2216ABF4">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C2F48C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78AFC96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7BFC76F">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0FB1A8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089BD6B8">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4F61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7EDEB5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83001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0DC864B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1608F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105D8C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13CAA1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6FA9B1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0800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66C7F1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5382A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6651E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69DE01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54068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976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F22E0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22DD5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E4C24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75328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6D6BD9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64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97B164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2DFFE4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ACDC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1DED4A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89259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41E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48477D5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473A7F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4C216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8F60C2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F738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E1D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E78E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36A77F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0A9750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4AA1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CEF45D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3E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E9D87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344959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BF0B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45DA9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B71A54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8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549D9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706914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69DC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6E019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AD501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F1E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E7FFB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5D5A0D5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0922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67704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2591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FE8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50E8F9E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3EA05A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A72B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70FB00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3E71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530F088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2380BA1E">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68DB8793">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00BE6CF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5" w:name="_Toc193187103"/>
      <w:bookmarkStart w:id="16" w:name="_Toc193126887"/>
      <w:bookmarkStart w:id="17" w:name="_Toc194663924"/>
      <w:bookmarkStart w:id="18" w:name="_Toc188808838"/>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7988B3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6E577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5"/>
      <w:bookmarkEnd w:id="16"/>
      <w:bookmarkEnd w:id="17"/>
      <w:bookmarkEnd w:id="18"/>
      <w:bookmarkStart w:id="19" w:name="_Toc49019236"/>
      <w:bookmarkStart w:id="20" w:name="_Toc194663925"/>
      <w:bookmarkStart w:id="21" w:name="_Toc47261690"/>
      <w:bookmarkStart w:id="22" w:name="_Toc47418938"/>
      <w:bookmarkStart w:id="23" w:name="_Toc47261885"/>
      <w:bookmarkStart w:id="24" w:name="_Toc47418255"/>
      <w:bookmarkStart w:id="25" w:name="_Toc47262069"/>
      <w:bookmarkStart w:id="26" w:name="_Toc193126888"/>
      <w:bookmarkStart w:id="27" w:name="_Toc49019497"/>
      <w:bookmarkStart w:id="28" w:name="_Toc193187104"/>
      <w:bookmarkStart w:id="29" w:name="_Toc188808839"/>
      <w:bookmarkStart w:id="30" w:name="_Toc48995851"/>
      <w:bookmarkStart w:id="31" w:name="_Toc48791235"/>
      <w:bookmarkStart w:id="32" w:name="_Toc47418731"/>
    </w:p>
    <w:bookmarkEnd w:id="11"/>
    <w:bookmarkEnd w:id="12"/>
    <w:bookmarkEnd w:id="13"/>
    <w:bookmarkEnd w:id="14"/>
    <w:bookmarkEnd w:id="19"/>
    <w:bookmarkEnd w:id="20"/>
    <w:bookmarkEnd w:id="21"/>
    <w:bookmarkEnd w:id="22"/>
    <w:bookmarkEnd w:id="23"/>
    <w:bookmarkEnd w:id="24"/>
    <w:bookmarkEnd w:id="25"/>
    <w:bookmarkEnd w:id="26"/>
    <w:bookmarkEnd w:id="27"/>
    <w:bookmarkEnd w:id="28"/>
    <w:bookmarkEnd w:id="29"/>
    <w:bookmarkEnd w:id="30"/>
    <w:bookmarkEnd w:id="31"/>
    <w:bookmarkEnd w:id="32"/>
    <w:p w14:paraId="7F19FE8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7410C69C">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6919745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2EFE8F02">
      <w:pPr>
        <w:pStyle w:val="7"/>
        <w:rPr>
          <w:rFonts w:hint="eastAsia" w:ascii="宋体" w:hAnsi="宋体" w:eastAsia="宋体" w:cs="宋体"/>
          <w:sz w:val="24"/>
          <w:szCs w:val="24"/>
          <w:lang w:val="en-US" w:eastAsia="zh-CN"/>
        </w:rPr>
      </w:pPr>
    </w:p>
    <w:p w14:paraId="5427DB16">
      <w:pPr>
        <w:rPr>
          <w:rFonts w:hint="eastAsia" w:ascii="宋体" w:hAnsi="宋体" w:eastAsia="宋体" w:cs="宋体"/>
          <w:sz w:val="24"/>
          <w:szCs w:val="24"/>
          <w:lang w:val="en-US" w:eastAsia="zh-CN"/>
        </w:rPr>
      </w:pPr>
    </w:p>
    <w:p w14:paraId="748085A9">
      <w:pPr>
        <w:pStyle w:val="7"/>
        <w:rPr>
          <w:rFonts w:hint="eastAsia" w:ascii="宋体" w:hAnsi="宋体" w:eastAsia="宋体" w:cs="宋体"/>
          <w:sz w:val="24"/>
          <w:szCs w:val="24"/>
          <w:lang w:val="en-US" w:eastAsia="zh-CN"/>
        </w:rPr>
      </w:pPr>
    </w:p>
    <w:p w14:paraId="462B36AD">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95FACB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52C69F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BB3B20C">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9C6814C">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317026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6F6A9DD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31B6E1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71C923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4503B7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48697D9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567F14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7269DA8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1D702B9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3CBE65A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C5286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6097DA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72EC58A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1A5B1D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14BD4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86E11BB">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07B8622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52F217C6">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6E3FC843">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F66C474">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1836DEC2">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118ED220">
      <w:pPr>
        <w:pStyle w:val="7"/>
        <w:rPr>
          <w:rFonts w:hint="eastAsia"/>
        </w:rPr>
      </w:pPr>
    </w:p>
    <w:p w14:paraId="16C2071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EBA2F0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7FB354D">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68F79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5E6045">
      <w:pPr>
        <w:pStyle w:val="7"/>
        <w:rPr>
          <w:rFonts w:hint="eastAsia"/>
        </w:rPr>
      </w:pPr>
    </w:p>
    <w:p w14:paraId="509018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7CF7983">
      <w:pPr>
        <w:pStyle w:val="43"/>
        <w:ind w:firstLine="480" w:firstLineChars="200"/>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F9F9D67">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3" w:name="_Toc18044"/>
      <w:bookmarkStart w:id="34" w:name="_Toc12408"/>
      <w:bookmarkStart w:id="35" w:name="_Toc13312"/>
      <w:bookmarkStart w:id="36" w:name="_Toc15591"/>
      <w:bookmarkStart w:id="37" w:name="_Toc17482"/>
      <w:bookmarkStart w:id="38" w:name="_Toc19326"/>
      <w:bookmarkStart w:id="39"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3"/>
      <w:bookmarkEnd w:id="34"/>
      <w:bookmarkEnd w:id="35"/>
      <w:bookmarkEnd w:id="36"/>
      <w:bookmarkEnd w:id="37"/>
      <w:bookmarkEnd w:id="38"/>
      <w:r>
        <w:rPr>
          <w:rFonts w:hint="eastAsia" w:ascii="宋体" w:hAnsi="宋体" w:eastAsia="宋体" w:cs="宋体"/>
          <w:color w:val="000000" w:themeColor="text1"/>
          <w:sz w:val="24"/>
          <w:szCs w:val="24"/>
          <w:highlight w:val="none"/>
          <w14:textFill>
            <w14:solidFill>
              <w14:schemeClr w14:val="tx1"/>
            </w14:solidFill>
          </w14:textFill>
        </w:rPr>
        <w:t>（格式）</w:t>
      </w:r>
      <w:bookmarkEnd w:id="39"/>
    </w:p>
    <w:p w14:paraId="0C74B3E6">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0" w:name="_Toc7264"/>
      <w:bookmarkStart w:id="41" w:name="_Toc2556"/>
      <w:bookmarkStart w:id="42" w:name="_Toc15794"/>
      <w:bookmarkStart w:id="43" w:name="_Toc4050"/>
      <w:bookmarkStart w:id="44" w:name="_Toc5624"/>
      <w:bookmarkStart w:id="45" w:name="_Toc724"/>
      <w:bookmarkStart w:id="46"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126B9D6">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09B54C5B">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09B54C5B">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2B19AA8A">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1CDF27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EE7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6FB7086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436177A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F8726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F92C5B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2456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6A25A7F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F67FFB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78B453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594214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B664E8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7DD066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C5CE4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2B1DA98">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4122642">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3D6FA48C">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40"/>
    <w:bookmarkEnd w:id="41"/>
    <w:bookmarkEnd w:id="42"/>
    <w:bookmarkEnd w:id="43"/>
    <w:bookmarkEnd w:id="44"/>
    <w:bookmarkEnd w:id="45"/>
    <w:bookmarkEnd w:id="46"/>
    <w:p w14:paraId="749812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2951B9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37C29B80">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7" w:name="_Toc3854"/>
      <w:bookmarkStart w:id="48" w:name="_Toc6456"/>
      <w:bookmarkStart w:id="49"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7"/>
      <w:bookmarkEnd w:id="48"/>
      <w:bookmarkEnd w:id="49"/>
    </w:p>
    <w:p w14:paraId="41EA81BD">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1D8848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23A282D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49C0821D">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7B9562C4">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8BAE1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BCF5CE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4C59679C">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7C6672F1">
      <w:pPr>
        <w:pStyle w:val="7"/>
        <w:rPr>
          <w:rFonts w:hint="eastAsia" w:ascii="宋体" w:hAnsi="宋体" w:eastAsia="宋体" w:cs="宋体"/>
          <w:color w:val="000000" w:themeColor="text1"/>
          <w:sz w:val="24"/>
          <w:szCs w:val="24"/>
          <w:highlight w:val="none"/>
          <w14:textFill>
            <w14:solidFill>
              <w14:schemeClr w14:val="tx1"/>
            </w14:solidFill>
          </w14:textFill>
        </w:rPr>
      </w:pPr>
    </w:p>
    <w:p w14:paraId="4937F967">
      <w:pPr>
        <w:rPr>
          <w:rFonts w:hint="eastAsia" w:ascii="宋体" w:hAnsi="宋体" w:eastAsia="宋体" w:cs="宋体"/>
          <w:color w:val="000000" w:themeColor="text1"/>
          <w:sz w:val="24"/>
          <w:szCs w:val="24"/>
          <w:highlight w:val="none"/>
          <w14:textFill>
            <w14:solidFill>
              <w14:schemeClr w14:val="tx1"/>
            </w14:solidFill>
          </w14:textFill>
        </w:rPr>
      </w:pPr>
    </w:p>
    <w:p w14:paraId="6037DC59">
      <w:pPr>
        <w:pStyle w:val="7"/>
        <w:rPr>
          <w:rFonts w:hint="eastAsia" w:ascii="宋体" w:hAnsi="宋体" w:eastAsia="宋体" w:cs="宋体"/>
          <w:color w:val="000000" w:themeColor="text1"/>
          <w:sz w:val="24"/>
          <w:szCs w:val="24"/>
          <w:highlight w:val="none"/>
          <w14:textFill>
            <w14:solidFill>
              <w14:schemeClr w14:val="tx1"/>
            </w14:solidFill>
          </w14:textFill>
        </w:rPr>
      </w:pPr>
    </w:p>
    <w:p w14:paraId="7EDA8D43">
      <w:pPr>
        <w:rPr>
          <w:rFonts w:hint="eastAsia"/>
        </w:rPr>
      </w:pPr>
    </w:p>
    <w:p w14:paraId="4DD3B1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648416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2C4D13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982439B">
      <w:pPr>
        <w:pStyle w:val="19"/>
        <w:rPr>
          <w:rFonts w:hint="eastAsia" w:ascii="宋体" w:hAnsi="宋体" w:eastAsia="宋体" w:cs="宋体"/>
          <w:color w:val="000000" w:themeColor="text1"/>
          <w:sz w:val="24"/>
          <w:szCs w:val="24"/>
          <w:highlight w:val="none"/>
          <w14:textFill>
            <w14:solidFill>
              <w14:schemeClr w14:val="tx1"/>
            </w14:solidFill>
          </w14:textFill>
        </w:rPr>
      </w:pPr>
    </w:p>
    <w:p w14:paraId="036446EF">
      <w:pPr>
        <w:pStyle w:val="19"/>
        <w:rPr>
          <w:rFonts w:hint="eastAsia" w:ascii="宋体" w:hAnsi="宋体" w:eastAsia="宋体" w:cs="宋体"/>
          <w:color w:val="000000" w:themeColor="text1"/>
          <w:sz w:val="24"/>
          <w:szCs w:val="24"/>
          <w:highlight w:val="none"/>
          <w14:textFill>
            <w14:solidFill>
              <w14:schemeClr w14:val="tx1"/>
            </w14:solidFill>
          </w14:textFill>
        </w:rPr>
      </w:pPr>
    </w:p>
    <w:p w14:paraId="136EBE76">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578356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8709273">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0" w:name="_Toc25983"/>
      <w:bookmarkStart w:id="51" w:name="_Toc12007"/>
      <w:bookmarkStart w:id="52" w:name="_Toc13090"/>
      <w:bookmarkStart w:id="53" w:name="_Toc14564"/>
      <w:bookmarkStart w:id="54" w:name="_Toc12264"/>
      <w:bookmarkStart w:id="55" w:name="_Toc15773"/>
      <w:bookmarkStart w:id="56"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0"/>
      <w:bookmarkEnd w:id="51"/>
      <w:bookmarkEnd w:id="52"/>
      <w:bookmarkEnd w:id="53"/>
      <w:bookmarkEnd w:id="54"/>
      <w:bookmarkEnd w:id="55"/>
      <w:bookmarkEnd w:id="56"/>
    </w:p>
    <w:p w14:paraId="080CC65E">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31295AFC">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7" w:name="_Toc15131"/>
      <w:bookmarkStart w:id="58" w:name="_Toc11275"/>
      <w:bookmarkStart w:id="59" w:name="_Toc26760"/>
      <w:bookmarkStart w:id="60" w:name="_Toc10651"/>
      <w:bookmarkStart w:id="61" w:name="_Toc22023"/>
      <w:bookmarkStart w:id="62" w:name="_Toc21260"/>
      <w:bookmarkStart w:id="63"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7"/>
      <w:bookmarkEnd w:id="58"/>
      <w:bookmarkEnd w:id="59"/>
      <w:bookmarkEnd w:id="60"/>
      <w:bookmarkEnd w:id="61"/>
      <w:bookmarkEnd w:id="62"/>
      <w:bookmarkEnd w:id="63"/>
    </w:p>
    <w:p w14:paraId="7BA09A7B">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6D863D6">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5FBB8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6E9E318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C6D6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29D0884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72B6F670">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4584889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41959BE8">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ABE2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F6C9A3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7C3FE4A">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0E0E87D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F69830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12E84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6BE021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4F35057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305587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2B611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429CB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867767F">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48C3DD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3264283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4B4EA5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156A8F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F1243B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0E1E841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4AC13A6">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5BFDC2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57B8DE0">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C83A93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1F04150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985984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7E3BF3C">
      <w:pPr>
        <w:pStyle w:val="4"/>
        <w:rPr>
          <w:rFonts w:hint="eastAsia" w:ascii="宋体" w:hAnsi="宋体" w:eastAsia="宋体" w:cs="宋体"/>
          <w:color w:val="000000" w:themeColor="text1"/>
          <w:sz w:val="24"/>
          <w:szCs w:val="24"/>
          <w:highlight w:val="none"/>
          <w14:textFill>
            <w14:solidFill>
              <w14:schemeClr w14:val="tx1"/>
            </w14:solidFill>
          </w14:textFill>
        </w:rPr>
      </w:pPr>
    </w:p>
    <w:p w14:paraId="1E8EF438">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B98978E">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54B7B3DE">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EED2AD7">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E555F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2061ED36">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CA2E7F6">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D870490">
      <w:pPr>
        <w:pStyle w:val="4"/>
        <w:ind w:firstLine="0"/>
        <w:rPr>
          <w:rFonts w:ascii="仿宋" w:hAnsi="仿宋" w:eastAsia="仿宋" w:cs="仿宋"/>
          <w:color w:val="000000" w:themeColor="text1"/>
          <w:highlight w:val="none"/>
          <w14:textFill>
            <w14:solidFill>
              <w14:schemeClr w14:val="tx1"/>
            </w14:solidFill>
          </w14:textFill>
        </w:rPr>
      </w:pPr>
    </w:p>
    <w:p w14:paraId="58411D7C">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359C3D">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67460954">
      <w:pPr>
        <w:rPr>
          <w:rFonts w:hint="eastAsia" w:ascii="宋体" w:hAnsi="宋体" w:eastAsia="宋体" w:cs="宋体"/>
          <w:color w:val="000000" w:themeColor="text1"/>
          <w:sz w:val="24"/>
          <w:szCs w:val="24"/>
          <w:highlight w:val="none"/>
          <w14:textFill>
            <w14:solidFill>
              <w14:schemeClr w14:val="tx1"/>
            </w14:solidFill>
          </w14:textFill>
        </w:rPr>
      </w:pPr>
    </w:p>
    <w:p w14:paraId="295AC057">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4147FD4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17B6872">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65239A2A">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317BC8A9">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4EAE1B1">
      <w:pPr>
        <w:pStyle w:val="7"/>
        <w:rPr>
          <w:rFonts w:hint="eastAsia" w:ascii="宋体" w:hAnsi="宋体" w:eastAsia="宋体" w:cs="宋体"/>
          <w:color w:val="000000" w:themeColor="text1"/>
          <w:sz w:val="24"/>
          <w:szCs w:val="24"/>
          <w:highlight w:val="none"/>
          <w14:textFill>
            <w14:solidFill>
              <w14:schemeClr w14:val="tx1"/>
            </w14:solidFill>
          </w14:textFill>
        </w:rPr>
      </w:pPr>
    </w:p>
    <w:p w14:paraId="0940368B">
      <w:pPr>
        <w:rPr>
          <w:rFonts w:hint="eastAsia" w:ascii="宋体" w:hAnsi="宋体" w:eastAsia="宋体" w:cs="宋体"/>
          <w:color w:val="000000" w:themeColor="text1"/>
          <w:sz w:val="24"/>
          <w:szCs w:val="24"/>
          <w:highlight w:val="none"/>
          <w14:textFill>
            <w14:solidFill>
              <w14:schemeClr w14:val="tx1"/>
            </w14:solidFill>
          </w14:textFill>
        </w:rPr>
      </w:pPr>
    </w:p>
    <w:p w14:paraId="46955425">
      <w:pPr>
        <w:pStyle w:val="7"/>
        <w:rPr>
          <w:rFonts w:hint="eastAsia"/>
        </w:rPr>
      </w:pPr>
    </w:p>
    <w:p w14:paraId="64ADAEB1">
      <w:pPr>
        <w:pStyle w:val="4"/>
        <w:rPr>
          <w:rFonts w:hint="eastAsia" w:ascii="宋体" w:hAnsi="宋体" w:eastAsia="宋体" w:cs="宋体"/>
          <w:color w:val="000000" w:themeColor="text1"/>
          <w:sz w:val="24"/>
          <w:szCs w:val="24"/>
          <w:highlight w:val="none"/>
          <w14:textFill>
            <w14:solidFill>
              <w14:schemeClr w14:val="tx1"/>
            </w14:solidFill>
          </w14:textFill>
        </w:rPr>
      </w:pPr>
    </w:p>
    <w:p w14:paraId="25E83FC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E7F4C5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B84DEC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962ABA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6D84678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4CCB8563">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403CA0AD">
      <w:pPr>
        <w:numPr>
          <w:ilvl w:val="0"/>
          <w:numId w:val="0"/>
        </w:numPr>
        <w:rPr>
          <w:rFonts w:hint="eastAsia"/>
          <w:sz w:val="24"/>
          <w:szCs w:val="24"/>
        </w:rPr>
      </w:pPr>
    </w:p>
    <w:p w14:paraId="55FE96C8">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0829C7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251B46A">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88EAC7D">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F00B64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C761">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246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5C67">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4BA7">
    <w:pPr>
      <w:pStyle w:val="14"/>
      <w:rPr>
        <w:u w:val="none"/>
        <w:lang w:val="en-US"/>
      </w:rPr>
    </w:pPr>
    <w:r>
      <w:rPr>
        <w:rFonts w:hint="eastAsia"/>
        <w:u w:val="none"/>
        <w:lang w:val="en-US" w:eastAsia="zh-CN"/>
      </w:rPr>
      <w:t xml:space="preserve">                                                                </w:t>
    </w:r>
  </w:p>
  <w:p w14:paraId="27465BE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3301">
    <w:pPr>
      <w:pStyle w:val="1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39F5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D39F5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3F12">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B9FD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7B9FD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5B22">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F3064">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BF3064">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A1E3">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4FB66">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A4FB66">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2039">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7478">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4BDC">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6647">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咸阳智慧医疗平台接口改造项目        竞争性磋商文件</w:t>
    </w:r>
  </w:p>
  <w:p w14:paraId="507B9531">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7C11">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3140">
    <w:pPr>
      <w:pStyle w:val="15"/>
      <w:pBdr>
        <w:bottom w:val="none" w:color="auto" w:sz="0" w:space="0"/>
      </w:pBdr>
      <w:jc w:val="cente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咸阳智慧医疗平台接口改造项目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C8D5">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97EC1748"/>
    <w:multiLevelType w:val="singleLevel"/>
    <w:tmpl w:val="97EC1748"/>
    <w:lvl w:ilvl="0" w:tentative="0">
      <w:start w:val="4"/>
      <w:numFmt w:val="decimal"/>
      <w:suff w:val="nothing"/>
      <w:lvlText w:val="%1、"/>
      <w:lvlJc w:val="left"/>
    </w:lvl>
  </w:abstractNum>
  <w:abstractNum w:abstractNumId="2">
    <w:nsid w:val="5731497A"/>
    <w:multiLevelType w:val="multilevel"/>
    <w:tmpl w:val="5731497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TU2MjBmN2Y1OWIxMTI0Mjg3NDk2MGNmNmNlNjA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03E92"/>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7F20F22"/>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4AB2672"/>
    <w:rsid w:val="25380897"/>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99241E"/>
    <w:rsid w:val="4EF43184"/>
    <w:rsid w:val="4F35448B"/>
    <w:rsid w:val="4FE96673"/>
    <w:rsid w:val="50633F09"/>
    <w:rsid w:val="51071B04"/>
    <w:rsid w:val="5114481D"/>
    <w:rsid w:val="512E7E73"/>
    <w:rsid w:val="517322DB"/>
    <w:rsid w:val="517F6ED2"/>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autoRedefine/>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autoRedefine/>
    <w:qFormat/>
    <w:uiPriority w:val="0"/>
    <w:pPr>
      <w:jc w:val="left"/>
    </w:pPr>
  </w:style>
  <w:style w:type="paragraph" w:styleId="9">
    <w:name w:val="Body Text"/>
    <w:basedOn w:val="1"/>
    <w:next w:val="1"/>
    <w:autoRedefine/>
    <w:qFormat/>
    <w:uiPriority w:val="99"/>
    <w:pPr>
      <w:tabs>
        <w:tab w:val="left" w:pos="7290"/>
      </w:tabs>
    </w:pPr>
    <w:rPr>
      <w:b/>
      <w:u w:val="single"/>
    </w:rPr>
  </w:style>
  <w:style w:type="paragraph" w:styleId="10">
    <w:name w:val="Body Text Indent"/>
    <w:basedOn w:val="1"/>
    <w:autoRedefine/>
    <w:qFormat/>
    <w:uiPriority w:val="0"/>
    <w:pPr>
      <w:spacing w:after="120"/>
      <w:ind w:left="420" w:leftChars="200"/>
    </w:pPr>
    <w:rPr>
      <w:rFonts w:ascii="Times New Roman" w:hAnsi="Times New Roman" w:eastAsia="宋体" w:cs="Times New Roman"/>
    </w:rPr>
  </w:style>
  <w:style w:type="paragraph" w:styleId="11">
    <w:name w:val="Plain Text"/>
    <w:basedOn w:val="1"/>
    <w:autoRedefine/>
    <w:qFormat/>
    <w:uiPriority w:val="0"/>
    <w:rPr>
      <w:rFonts w:hAnsi="Courier New"/>
      <w:kern w:val="2"/>
      <w:sz w:val="21"/>
    </w:rPr>
  </w:style>
  <w:style w:type="paragraph" w:styleId="12">
    <w:name w:val="Date"/>
    <w:basedOn w:val="1"/>
    <w:next w:val="1"/>
    <w:autoRedefine/>
    <w:qFormat/>
    <w:uiPriority w:val="0"/>
    <w:rPr>
      <w:rFonts w:ascii="Copperplate Gothic Bold" w:hAnsi="Copperplate Gothic Bold"/>
      <w:sz w:val="32"/>
    </w:rPr>
  </w:style>
  <w:style w:type="paragraph" w:styleId="13">
    <w:name w:val="Balloon Text"/>
    <w:basedOn w:val="1"/>
    <w:autoRedefine/>
    <w:qFormat/>
    <w:uiPriority w:val="0"/>
    <w:rPr>
      <w:sz w:val="18"/>
      <w:szCs w:val="18"/>
    </w:rPr>
  </w:style>
  <w:style w:type="paragraph" w:styleId="14">
    <w:name w:val="footer"/>
    <w:basedOn w:val="1"/>
    <w:link w:val="28"/>
    <w:autoRedefine/>
    <w:qFormat/>
    <w:uiPriority w:val="0"/>
    <w:pPr>
      <w:tabs>
        <w:tab w:val="center" w:pos="4153"/>
        <w:tab w:val="right" w:pos="8306"/>
      </w:tabs>
      <w:snapToGrid w:val="0"/>
      <w:jc w:val="left"/>
    </w:pPr>
    <w:rPr>
      <w:sz w:val="18"/>
      <w:szCs w:val="18"/>
    </w:rPr>
  </w:style>
  <w:style w:type="paragraph" w:styleId="15">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autoRedefine/>
    <w:qFormat/>
    <w:uiPriority w:val="0"/>
    <w:pPr>
      <w:jc w:val="center"/>
    </w:pPr>
    <w:rPr>
      <w:b/>
      <w:spacing w:val="-20"/>
      <w:w w:val="130"/>
      <w:sz w:val="48"/>
      <w:szCs w:val="20"/>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autoRedefine/>
    <w:qFormat/>
    <w:uiPriority w:val="0"/>
    <w:rPr>
      <w:b/>
      <w:bCs/>
    </w:rPr>
  </w:style>
  <w:style w:type="paragraph" w:styleId="19">
    <w:name w:val="Body Text First Indent"/>
    <w:basedOn w:val="9"/>
    <w:next w:val="20"/>
    <w:autoRedefine/>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autoRedefine/>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rPr>
      <w:rFonts w:ascii="Times New Roman" w:hAnsi="Times New Roman" w:eastAsia="宋体" w:cs="Times New Roman"/>
    </w:rPr>
  </w:style>
  <w:style w:type="character" w:styleId="26">
    <w:name w:val="annotation reference"/>
    <w:autoRedefine/>
    <w:qFormat/>
    <w:uiPriority w:val="0"/>
    <w:rPr>
      <w:sz w:val="21"/>
      <w:szCs w:val="21"/>
    </w:rPr>
  </w:style>
  <w:style w:type="character" w:customStyle="1" w:styleId="27">
    <w:name w:val="页眉 Char"/>
    <w:link w:val="15"/>
    <w:autoRedefine/>
    <w:qFormat/>
    <w:uiPriority w:val="0"/>
    <w:rPr>
      <w:kern w:val="2"/>
      <w:sz w:val="18"/>
      <w:szCs w:val="18"/>
    </w:rPr>
  </w:style>
  <w:style w:type="character" w:customStyle="1" w:styleId="28">
    <w:name w:val="页脚 Char"/>
    <w:link w:val="14"/>
    <w:autoRedefine/>
    <w:qFormat/>
    <w:uiPriority w:val="0"/>
    <w:rPr>
      <w:kern w:val="2"/>
      <w:sz w:val="18"/>
      <w:szCs w:val="18"/>
    </w:rPr>
  </w:style>
  <w:style w:type="paragraph" w:customStyle="1" w:styleId="2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autoRedefine/>
    <w:qFormat/>
    <w:uiPriority w:val="0"/>
    <w:rPr>
      <w:kern w:val="2"/>
      <w:sz w:val="21"/>
      <w:szCs w:val="24"/>
    </w:rPr>
  </w:style>
  <w:style w:type="character" w:customStyle="1" w:styleId="31">
    <w:name w:val="批注主题 Char"/>
    <w:link w:val="18"/>
    <w:autoRedefine/>
    <w:qFormat/>
    <w:uiPriority w:val="0"/>
    <w:rPr>
      <w:b/>
      <w:bCs/>
      <w:kern w:val="2"/>
      <w:sz w:val="21"/>
      <w:szCs w:val="24"/>
    </w:rPr>
  </w:style>
  <w:style w:type="character" w:customStyle="1" w:styleId="32">
    <w:name w:val="NormalCharacter"/>
    <w:autoRedefine/>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autoRedefine/>
    <w:qFormat/>
    <w:uiPriority w:val="0"/>
    <w:rPr>
      <w:rFonts w:ascii="Times New Roman" w:hAnsi="Times New Roman" w:eastAsia="楷体_GB2312"/>
      <w:b/>
      <w:kern w:val="44"/>
      <w:sz w:val="44"/>
      <w:szCs w:val="20"/>
    </w:rPr>
  </w:style>
  <w:style w:type="paragraph" w:customStyle="1" w:styleId="35">
    <w:name w:val="PlainText"/>
    <w:basedOn w:val="1"/>
    <w:autoRedefine/>
    <w:qFormat/>
    <w:uiPriority w:val="0"/>
    <w:pPr>
      <w:spacing w:line="324" w:lineRule="auto"/>
    </w:pPr>
    <w:rPr>
      <w:rFonts w:ascii="宋体" w:hAnsi="Courier New"/>
      <w:szCs w:val="20"/>
    </w:rPr>
  </w:style>
  <w:style w:type="character" w:customStyle="1" w:styleId="36">
    <w:name w:val="font21"/>
    <w:basedOn w:val="23"/>
    <w:autoRedefine/>
    <w:qFormat/>
    <w:uiPriority w:val="0"/>
    <w:rPr>
      <w:rFonts w:hint="eastAsia" w:ascii="宋体" w:hAnsi="宋体" w:eastAsia="宋体" w:cs="宋体"/>
      <w:color w:val="000000"/>
      <w:sz w:val="22"/>
      <w:szCs w:val="22"/>
      <w:u w:val="none"/>
    </w:rPr>
  </w:style>
  <w:style w:type="paragraph" w:customStyle="1" w:styleId="37">
    <w:name w:val="样式4"/>
    <w:basedOn w:val="1"/>
    <w:autoRedefine/>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autoRedefine/>
    <w:qFormat/>
    <w:uiPriority w:val="99"/>
    <w:pPr>
      <w:ind w:firstLine="200" w:firstLineChars="200"/>
    </w:pPr>
  </w:style>
  <w:style w:type="paragraph" w:customStyle="1" w:styleId="39">
    <w:name w:val="Char"/>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autoRedefine/>
    <w:qFormat/>
    <w:uiPriority w:val="0"/>
    <w:rPr>
      <w:rFonts w:hint="eastAsia" w:ascii="宋体" w:hAnsi="宋体" w:eastAsia="宋体" w:cs="宋体"/>
      <w:color w:val="000000"/>
      <w:sz w:val="24"/>
      <w:szCs w:val="24"/>
      <w:u w:val="none"/>
    </w:rPr>
  </w:style>
  <w:style w:type="character" w:customStyle="1" w:styleId="42">
    <w:name w:val="font31"/>
    <w:basedOn w:val="23"/>
    <w:autoRedefine/>
    <w:qFormat/>
    <w:uiPriority w:val="0"/>
    <w:rPr>
      <w:rFonts w:hint="eastAsia" w:ascii="宋体" w:hAnsi="宋体" w:eastAsia="宋体" w:cs="宋体"/>
      <w:b/>
      <w:bCs/>
      <w:color w:val="000000"/>
      <w:sz w:val="24"/>
      <w:szCs w:val="24"/>
      <w:u w:val="none"/>
    </w:rPr>
  </w:style>
  <w:style w:type="paragraph" w:customStyle="1" w:styleId="43">
    <w:name w:val="标题 3（投标文件）"/>
    <w:basedOn w:val="6"/>
    <w:autoRedefine/>
    <w:qFormat/>
    <w:uiPriority w:val="99"/>
    <w:pPr>
      <w:jc w:val="left"/>
    </w:pPr>
  </w:style>
  <w:style w:type="paragraph" w:customStyle="1" w:styleId="44">
    <w:name w:val="列出段落3"/>
    <w:basedOn w:val="1"/>
    <w:autoRedefine/>
    <w:qFormat/>
    <w:uiPriority w:val="0"/>
    <w:pPr>
      <w:ind w:firstLine="420" w:firstLineChars="200"/>
    </w:pPr>
    <w:rPr>
      <w:szCs w:val="21"/>
    </w:rPr>
  </w:style>
  <w:style w:type="paragraph" w:customStyle="1" w:styleId="45">
    <w:name w:val="样式 文档正文 + 宋体 加粗 倾斜 首行缩进:  0 厘米 段后: 11.7 磅"/>
    <w:basedOn w:val="46"/>
    <w:autoRedefine/>
    <w:qFormat/>
    <w:uiPriority w:val="0"/>
    <w:pPr>
      <w:spacing w:after="234"/>
      <w:ind w:firstLine="0"/>
    </w:pPr>
    <w:rPr>
      <w:rFonts w:ascii="宋体" w:hAnsi="宋体" w:cs="宋体"/>
      <w:bCs/>
      <w:iCs/>
      <w:kern w:val="2"/>
      <w:szCs w:val="20"/>
    </w:rPr>
  </w:style>
  <w:style w:type="paragraph" w:customStyle="1" w:styleId="46">
    <w:name w:val="文档正文"/>
    <w:basedOn w:val="1"/>
    <w:autoRedefine/>
    <w:qFormat/>
    <w:uiPriority w:val="0"/>
    <w:pPr>
      <w:adjustRightInd w:val="0"/>
      <w:spacing w:line="360" w:lineRule="auto"/>
      <w:ind w:firstLine="567"/>
      <w:textAlignment w:val="baseline"/>
    </w:pPr>
    <w:rPr>
      <w:rFonts w:ascii="Arial" w:hAnsi="Arial"/>
      <w:kern w:val="0"/>
      <w:sz w:val="24"/>
    </w:rPr>
  </w:style>
  <w:style w:type="paragraph" w:styleId="4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45</Pages>
  <Words>2372</Words>
  <Characters>2548</Characters>
  <Paragraphs>503</Paragraphs>
  <TotalTime>30</TotalTime>
  <ScaleCrop>false</ScaleCrop>
  <LinksUpToDate>false</LinksUpToDate>
  <CharactersWithSpaces>2601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2025-01-17T03:48:33Z</cp:lastPrinted>
  <dcterms:modified xsi:type="dcterms:W3CDTF">2025-01-17T03:48:42Z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5761C79A0B9B425EB630D422BCAF93FC_13</vt:lpwstr>
  </property>
  <property fmtid="{D5CDD505-2E9C-101B-9397-08002B2CF9AE}" pid="4" name="KSOTemplateDocerSaveRecord">
    <vt:lpwstr>eyJoZGlkIjoiNGQzM2EwNWUzZGQ3OGY1OGNmYTlkYmFkZTcwOTVmN2IiLCJ1c2VySWQiOiI0NjY2ODg5NDUifQ==</vt:lpwstr>
  </property>
</Properties>
</file>