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color w:val="FFFF00"/>
          <w:kern w:val="0"/>
          <w:sz w:val="28"/>
          <w:szCs w:val="28"/>
          <w:highlight w:val="none"/>
          <w:lang w:val="en-US" w:eastAsia="zh-CN"/>
        </w:rPr>
      </w:pPr>
      <w:r>
        <w:rPr>
          <w:rStyle w:val="33"/>
          <w:rFonts w:hint="eastAsia" w:ascii="宋体" w:hAnsi="宋体" w:eastAsia="宋体" w:cs="宋体"/>
          <w:b/>
          <w:sz w:val="28"/>
          <w:szCs w:val="28"/>
          <w:highlight w:val="none"/>
        </w:rPr>
        <w:t>项目编号：</w:t>
      </w:r>
      <w:r>
        <w:rPr>
          <w:rStyle w:val="33"/>
          <w:rFonts w:hint="eastAsia" w:ascii="宋体" w:hAnsi="宋体" w:cs="宋体"/>
          <w:b/>
          <w:color w:val="auto"/>
          <w:sz w:val="28"/>
          <w:szCs w:val="28"/>
          <w:highlight w:val="none"/>
          <w:lang w:eastAsia="zh-CN"/>
        </w:rPr>
        <w:t>SZRFYZB202503-080</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E6C0B69">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204753B2">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2ADD87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4DD2146E">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3"/>
          <w:rFonts w:hint="eastAsia" w:ascii="宋体" w:hAnsi="宋体" w:eastAsia="宋体" w:cs="宋体"/>
          <w:color w:val="000000"/>
          <w:kern w:val="0"/>
          <w:sz w:val="24"/>
          <w:szCs w:val="24"/>
          <w:highlight w:val="none"/>
        </w:rPr>
      </w:pPr>
      <w:r>
        <w:rPr>
          <w:rStyle w:val="33"/>
          <w:rFonts w:hint="eastAsia" w:ascii="宋体" w:hAnsi="宋体" w:cs="宋体"/>
          <w:b/>
          <w:sz w:val="52"/>
          <w:szCs w:val="52"/>
          <w:highlight w:val="none"/>
          <w:lang w:val="en-US" w:eastAsia="zh-CN"/>
        </w:rPr>
        <w:t>秦都院区污水处理站维修服务项目</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52"/>
          <w:szCs w:val="52"/>
          <w:highlight w:val="none"/>
        </w:rPr>
      </w:pPr>
      <w:r>
        <w:rPr>
          <w:rStyle w:val="33"/>
          <w:rFonts w:hint="eastAsia" w:ascii="宋体" w:hAnsi="宋体" w:cs="宋体"/>
          <w:b/>
          <w:color w:val="000000"/>
          <w:kern w:val="0"/>
          <w:sz w:val="52"/>
          <w:szCs w:val="52"/>
          <w:highlight w:val="none"/>
          <w:lang w:val="en-US" w:eastAsia="zh-CN"/>
        </w:rPr>
        <w:t>竞争性磋商</w:t>
      </w:r>
      <w:r>
        <w:rPr>
          <w:rStyle w:val="33"/>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B818AC3">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3D2039F8">
      <w:pPr>
        <w:pStyle w:val="21"/>
        <w:rPr>
          <w:rFonts w:hint="eastAsia"/>
        </w:rPr>
      </w:pPr>
    </w:p>
    <w:p w14:paraId="1205C4F0">
      <w:pPr>
        <w:pStyle w:val="21"/>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陕西中医药大学第二附属医院</w:t>
      </w:r>
    </w:p>
    <w:p w14:paraId="4BC1178B">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auto"/>
          <w:sz w:val="28"/>
          <w:szCs w:val="28"/>
          <w:highlight w:val="none"/>
        </w:rPr>
        <w:t>二〇二</w:t>
      </w:r>
      <w:r>
        <w:rPr>
          <w:rStyle w:val="33"/>
          <w:rFonts w:hint="eastAsia" w:ascii="宋体" w:hAnsi="宋体" w:cs="宋体"/>
          <w:b/>
          <w:color w:val="auto"/>
          <w:sz w:val="28"/>
          <w:szCs w:val="28"/>
          <w:highlight w:val="none"/>
          <w:lang w:val="en-US" w:eastAsia="zh-CN"/>
        </w:rPr>
        <w:t>五</w:t>
      </w:r>
      <w:r>
        <w:rPr>
          <w:rStyle w:val="33"/>
          <w:rFonts w:hint="eastAsia" w:ascii="宋体" w:hAnsi="宋体" w:eastAsia="宋体" w:cs="宋体"/>
          <w:b/>
          <w:color w:val="auto"/>
          <w:sz w:val="28"/>
          <w:szCs w:val="28"/>
          <w:highlight w:val="none"/>
          <w:lang w:val="en-US" w:eastAsia="zh-CN"/>
        </w:rPr>
        <w:t>年</w:t>
      </w:r>
      <w:r>
        <w:rPr>
          <w:rStyle w:val="33"/>
          <w:rFonts w:hint="eastAsia" w:ascii="宋体" w:hAnsi="宋体" w:cs="宋体"/>
          <w:b/>
          <w:color w:val="auto"/>
          <w:sz w:val="28"/>
          <w:szCs w:val="28"/>
          <w:highlight w:val="none"/>
          <w:lang w:val="en-US" w:eastAsia="zh-CN"/>
        </w:rPr>
        <w:t>四</w:t>
      </w:r>
      <w:r>
        <w:rPr>
          <w:rStyle w:val="33"/>
          <w:rFonts w:hint="eastAsia" w:ascii="宋体" w:hAnsi="宋体" w:eastAsia="宋体" w:cs="宋体"/>
          <w:b/>
          <w:color w:val="auto"/>
          <w:sz w:val="28"/>
          <w:szCs w:val="28"/>
          <w:highlight w:val="none"/>
          <w:lang w:val="en-US" w:eastAsia="zh-CN"/>
        </w:rPr>
        <w:t>月</w:t>
      </w:r>
    </w:p>
    <w:p w14:paraId="6BD23DDE">
      <w:pPr>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24"/>
          <w:szCs w:val="24"/>
          <w:highlight w:val="none"/>
        </w:rPr>
        <w:br w:type="page"/>
      </w:r>
    </w:p>
    <w:p w14:paraId="479D8D1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6"/>
          <w:szCs w:val="36"/>
          <w:highlight w:val="none"/>
        </w:rPr>
      </w:pPr>
      <w:r>
        <w:rPr>
          <w:rStyle w:val="33"/>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第一</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竞争性磋商</w:t>
      </w:r>
      <w:r>
        <w:rPr>
          <w:rStyle w:val="33"/>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第二</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供应商</w:t>
      </w:r>
      <w:r>
        <w:rPr>
          <w:rStyle w:val="33"/>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 xml:space="preserve">第三章    </w:t>
      </w:r>
      <w:r>
        <w:rPr>
          <w:rStyle w:val="33"/>
          <w:rFonts w:hint="eastAsia" w:ascii="宋体" w:hAnsi="宋体" w:eastAsia="宋体" w:cs="宋体"/>
          <w:b/>
          <w:color w:val="000000"/>
          <w:kern w:val="0"/>
          <w:sz w:val="28"/>
          <w:szCs w:val="28"/>
          <w:highlight w:val="none"/>
          <w:lang w:val="en-US" w:eastAsia="zh-CN"/>
        </w:rPr>
        <w:t>采购</w:t>
      </w:r>
      <w:r>
        <w:rPr>
          <w:rStyle w:val="33"/>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val="en-US" w:eastAsia="zh-CN"/>
        </w:rPr>
      </w:pPr>
      <w:r>
        <w:rPr>
          <w:rStyle w:val="33"/>
          <w:rFonts w:hint="eastAsia" w:ascii="宋体" w:hAnsi="宋体" w:eastAsia="宋体" w:cs="宋体"/>
          <w:b/>
          <w:color w:val="000000"/>
          <w:kern w:val="0"/>
          <w:sz w:val="28"/>
          <w:szCs w:val="28"/>
          <w:highlight w:val="none"/>
        </w:rPr>
        <w:t xml:space="preserve">第五章    </w:t>
      </w:r>
      <w:r>
        <w:rPr>
          <w:rStyle w:val="33"/>
          <w:rFonts w:hint="eastAsia" w:ascii="宋体" w:hAnsi="宋体" w:eastAsia="宋体" w:cs="宋体"/>
          <w:b/>
          <w:color w:val="000000"/>
          <w:kern w:val="0"/>
          <w:sz w:val="28"/>
          <w:szCs w:val="28"/>
          <w:highlight w:val="none"/>
          <w:lang w:eastAsia="zh-CN"/>
        </w:rPr>
        <w:t>合同</w:t>
      </w:r>
      <w:r>
        <w:rPr>
          <w:rStyle w:val="33"/>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eastAsia="zh-CN"/>
        </w:rPr>
      </w:pPr>
      <w:r>
        <w:rPr>
          <w:rStyle w:val="33"/>
          <w:rFonts w:hint="eastAsia" w:ascii="宋体" w:hAnsi="宋体" w:eastAsia="宋体" w:cs="宋体"/>
          <w:b/>
          <w:color w:val="000000"/>
          <w:kern w:val="0"/>
          <w:sz w:val="28"/>
          <w:szCs w:val="28"/>
          <w:highlight w:val="none"/>
        </w:rPr>
        <w:t>第</w:t>
      </w:r>
      <w:r>
        <w:rPr>
          <w:rStyle w:val="33"/>
          <w:rFonts w:hint="eastAsia" w:ascii="宋体" w:hAnsi="宋体" w:eastAsia="宋体" w:cs="宋体"/>
          <w:b/>
          <w:color w:val="000000"/>
          <w:kern w:val="0"/>
          <w:sz w:val="28"/>
          <w:szCs w:val="28"/>
          <w:highlight w:val="none"/>
          <w:lang w:eastAsia="zh-CN"/>
        </w:rPr>
        <w:t>六</w:t>
      </w:r>
      <w:r>
        <w:rPr>
          <w:rStyle w:val="33"/>
          <w:rFonts w:hint="eastAsia" w:ascii="宋体" w:hAnsi="宋体" w:eastAsia="宋体" w:cs="宋体"/>
          <w:b/>
          <w:color w:val="000000"/>
          <w:kern w:val="0"/>
          <w:sz w:val="28"/>
          <w:szCs w:val="28"/>
          <w:highlight w:val="none"/>
        </w:rPr>
        <w:t xml:space="preserve">章    </w:t>
      </w:r>
      <w:r>
        <w:rPr>
          <w:rStyle w:val="33"/>
          <w:rFonts w:hint="eastAsia" w:ascii="宋体" w:hAnsi="宋体" w:eastAsia="宋体" w:cs="宋体"/>
          <w:b/>
          <w:color w:val="000000"/>
          <w:kern w:val="0"/>
          <w:sz w:val="28"/>
          <w:szCs w:val="28"/>
          <w:highlight w:val="none"/>
          <w:lang w:eastAsia="zh-CN"/>
        </w:rPr>
        <w:t>其他说明</w:t>
      </w:r>
    </w:p>
    <w:p w14:paraId="7ECFB2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lang w:eastAsia="zh-CN"/>
        </w:rPr>
        <w:t>第七章</w:t>
      </w:r>
      <w:r>
        <w:rPr>
          <w:rStyle w:val="33"/>
          <w:rFonts w:hint="eastAsia" w:ascii="宋体" w:hAnsi="宋体" w:eastAsia="宋体" w:cs="宋体"/>
          <w:b/>
          <w:color w:val="000000"/>
          <w:kern w:val="0"/>
          <w:sz w:val="28"/>
          <w:szCs w:val="28"/>
          <w:highlight w:val="none"/>
          <w:lang w:val="en-US" w:eastAsia="zh-CN"/>
        </w:rPr>
        <w:t xml:space="preserve">    </w:t>
      </w:r>
      <w:r>
        <w:rPr>
          <w:rStyle w:val="33"/>
          <w:rFonts w:hint="eastAsia" w:ascii="宋体" w:hAnsi="宋体" w:cs="宋体"/>
          <w:b/>
          <w:color w:val="000000"/>
          <w:kern w:val="0"/>
          <w:sz w:val="28"/>
          <w:szCs w:val="28"/>
          <w:highlight w:val="none"/>
          <w:lang w:val="en-US" w:eastAsia="zh-CN"/>
        </w:rPr>
        <w:t>响应文件</w:t>
      </w:r>
      <w:r>
        <w:rPr>
          <w:rStyle w:val="33"/>
          <w:rFonts w:hint="eastAsia" w:ascii="宋体" w:hAnsi="宋体" w:eastAsia="宋体" w:cs="宋体"/>
          <w:b/>
          <w:color w:val="000000"/>
          <w:kern w:val="0"/>
          <w:sz w:val="28"/>
          <w:szCs w:val="28"/>
          <w:highlight w:val="none"/>
        </w:rPr>
        <w:t>格式</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default" w:ascii="宋体" w:hAnsi="宋体" w:eastAsia="宋体" w:cs="宋体"/>
          <w:b/>
          <w:color w:val="000000"/>
          <w:kern w:val="0"/>
          <w:sz w:val="28"/>
          <w:szCs w:val="28"/>
          <w:highlight w:val="none"/>
          <w:lang w:val="en-US" w:eastAsia="zh-CN"/>
        </w:rPr>
      </w:pPr>
      <w:r>
        <w:rPr>
          <w:rStyle w:val="33"/>
          <w:rFonts w:hint="eastAsia" w:ascii="宋体" w:hAnsi="宋体" w:cs="宋体"/>
          <w:b/>
          <w:color w:val="000000"/>
          <w:kern w:val="0"/>
          <w:sz w:val="28"/>
          <w:szCs w:val="28"/>
          <w:highlight w:val="none"/>
          <w:lang w:val="en-US" w:eastAsia="zh-CN"/>
        </w:rPr>
        <w:t>第八章    密封袋封面格式</w:t>
      </w:r>
    </w:p>
    <w:p w14:paraId="03A1589E">
      <w:pPr>
        <w:pStyle w:val="14"/>
        <w:rPr>
          <w:rFonts w:hint="eastAsia"/>
        </w:rPr>
      </w:pP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814A42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3"/>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3"/>
          <w:rFonts w:hint="eastAsia" w:ascii="宋体" w:hAnsi="宋体" w:eastAsia="宋体" w:cs="宋体"/>
          <w:b/>
          <w:sz w:val="32"/>
          <w:szCs w:val="32"/>
          <w:highlight w:val="none"/>
          <w:lang w:val="en-US" w:eastAsia="zh-CN"/>
        </w:rPr>
        <w:t xml:space="preserve">  </w:t>
      </w:r>
      <w:r>
        <w:rPr>
          <w:rStyle w:val="33"/>
          <w:rFonts w:hint="eastAsia" w:ascii="宋体" w:hAnsi="宋体" w:cs="宋体"/>
          <w:b/>
          <w:sz w:val="32"/>
          <w:szCs w:val="32"/>
          <w:highlight w:val="none"/>
          <w:lang w:val="en-US" w:eastAsia="zh-CN"/>
        </w:rPr>
        <w:t>竞争性磋商</w:t>
      </w:r>
      <w:r>
        <w:rPr>
          <w:rStyle w:val="33"/>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秦都院区污水处理站维修服务项目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3"/>
          <w:rFonts w:hint="eastAsia" w:ascii="宋体" w:hAnsi="宋体" w:eastAsia="宋体" w:cs="宋体"/>
          <w:sz w:val="24"/>
          <w:szCs w:val="24"/>
          <w:highlight w:val="none"/>
        </w:rPr>
        <w:t>1</w:t>
      </w:r>
      <w:r>
        <w:rPr>
          <w:rStyle w:val="33"/>
          <w:rFonts w:hint="eastAsia" w:ascii="宋体" w:hAnsi="宋体" w:eastAsia="宋体" w:cs="宋体"/>
          <w:sz w:val="24"/>
          <w:szCs w:val="24"/>
          <w:highlight w:val="none"/>
          <w:lang w:eastAsia="zh-CN"/>
        </w:rPr>
        <w:t>、</w:t>
      </w:r>
      <w:r>
        <w:rPr>
          <w:rStyle w:val="33"/>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秦都院区污水处理站维修服务项目</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2、招标内容：详见</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lang w:val="en-US" w:eastAsia="zh-CN"/>
        </w:rPr>
        <w:t>3</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成交供应商</w:t>
      </w:r>
      <w:r>
        <w:rPr>
          <w:rStyle w:val="33"/>
          <w:rFonts w:hint="eastAsia" w:ascii="宋体" w:hAnsi="宋体" w:eastAsia="宋体" w:cs="宋体"/>
          <w:sz w:val="24"/>
          <w:szCs w:val="24"/>
          <w:highlight w:val="none"/>
        </w:rPr>
        <w:t>数量：</w:t>
      </w:r>
      <w:r>
        <w:rPr>
          <w:rStyle w:val="33"/>
          <w:rFonts w:hint="eastAsia" w:ascii="宋体" w:hAnsi="宋体" w:cs="宋体"/>
          <w:sz w:val="24"/>
          <w:szCs w:val="24"/>
          <w:highlight w:val="none"/>
          <w:lang w:val="en-US" w:eastAsia="zh-CN"/>
        </w:rPr>
        <w:t>1</w:t>
      </w:r>
      <w:r>
        <w:rPr>
          <w:rStyle w:val="33"/>
          <w:rFonts w:hint="eastAsia" w:ascii="宋体" w:hAnsi="宋体" w:eastAsia="宋体" w:cs="宋体"/>
          <w:sz w:val="24"/>
          <w:szCs w:val="24"/>
          <w:highlight w:val="none"/>
          <w:lang w:val="en-US" w:eastAsia="zh-CN"/>
        </w:rPr>
        <w:t>个</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3"/>
          <w:rFonts w:hint="default" w:ascii="宋体" w:hAnsi="宋体" w:eastAsia="宋体" w:cs="宋体"/>
          <w:sz w:val="24"/>
          <w:szCs w:val="24"/>
          <w:highlight w:val="none"/>
          <w:lang w:val="en-US" w:eastAsia="zh-CN"/>
        </w:rPr>
      </w:pPr>
      <w:r>
        <w:rPr>
          <w:rStyle w:val="33"/>
          <w:rFonts w:hint="eastAsia" w:ascii="宋体" w:hAnsi="宋体" w:eastAsia="宋体" w:cs="宋体"/>
          <w:sz w:val="24"/>
          <w:szCs w:val="24"/>
          <w:highlight w:val="none"/>
          <w:lang w:val="en-US" w:eastAsia="zh-CN"/>
        </w:rPr>
        <w:t>4、</w:t>
      </w:r>
      <w:r>
        <w:rPr>
          <w:rStyle w:val="33"/>
          <w:rFonts w:hint="eastAsia" w:ascii="宋体" w:hAnsi="宋体" w:cs="宋体"/>
          <w:sz w:val="24"/>
          <w:szCs w:val="24"/>
          <w:highlight w:val="none"/>
          <w:lang w:val="en-US" w:eastAsia="zh-CN"/>
        </w:rPr>
        <w:t>最高限价：175055.09元</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72B758F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254855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2E9B8C0">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投标保证金缴纳账户</w:t>
      </w:r>
      <w:r>
        <w:rPr>
          <w:rStyle w:val="33"/>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3"/>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lang w:val="en-US" w:eastAsia="zh-CN"/>
        </w:rPr>
        <w:t>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应认真浏览</w:t>
      </w:r>
      <w:r>
        <w:rPr>
          <w:rStyle w:val="33"/>
          <w:rFonts w:hint="eastAsia" w:ascii="宋体" w:hAnsi="宋体" w:eastAsia="宋体" w:cs="宋体"/>
          <w:bCs/>
          <w:sz w:val="24"/>
          <w:szCs w:val="24"/>
          <w:highlight w:val="none"/>
          <w:lang w:val="en-US" w:eastAsia="zh-CN"/>
        </w:rPr>
        <w:t>招标</w:t>
      </w:r>
      <w:r>
        <w:rPr>
          <w:rStyle w:val="33"/>
          <w:rFonts w:hint="eastAsia" w:ascii="宋体" w:hAnsi="宋体" w:eastAsia="宋体" w:cs="宋体"/>
          <w:bCs/>
          <w:sz w:val="24"/>
          <w:szCs w:val="24"/>
          <w:highlight w:val="none"/>
        </w:rPr>
        <w:t>公告及</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，将</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中的资格要求与</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2、报名时不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eastAsia="zh-CN"/>
        </w:rPr>
      </w:pPr>
      <w:r>
        <w:rPr>
          <w:rStyle w:val="33"/>
          <w:rFonts w:hint="eastAsia" w:ascii="宋体" w:hAnsi="宋体" w:eastAsia="宋体" w:cs="宋体"/>
          <w:bCs/>
          <w:sz w:val="24"/>
          <w:szCs w:val="24"/>
          <w:highlight w:val="none"/>
        </w:rPr>
        <w:t>3、</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在编制资格审查</w:t>
      </w:r>
      <w:r>
        <w:rPr>
          <w:rStyle w:val="33"/>
          <w:rFonts w:hint="eastAsia" w:ascii="宋体" w:hAnsi="宋体" w:eastAsia="宋体" w:cs="宋体"/>
          <w:bCs/>
          <w:sz w:val="24"/>
          <w:szCs w:val="24"/>
          <w:highlight w:val="none"/>
          <w:lang w:val="en-US" w:eastAsia="zh-CN"/>
        </w:rPr>
        <w:t>文件</w:t>
      </w:r>
      <w:r>
        <w:rPr>
          <w:rStyle w:val="33"/>
          <w:rFonts w:hint="eastAsia" w:ascii="宋体" w:hAnsi="宋体" w:eastAsia="宋体" w:cs="宋体"/>
          <w:bCs/>
          <w:sz w:val="24"/>
          <w:szCs w:val="24"/>
          <w:highlight w:val="none"/>
        </w:rPr>
        <w:t>时，应按照</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中要求的提供，不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遗漏，也不要人为增加</w:t>
      </w:r>
      <w:r>
        <w:rPr>
          <w:rStyle w:val="33"/>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应对</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的要求做出实质响应</w:t>
      </w:r>
      <w:r>
        <w:rPr>
          <w:rStyle w:val="33"/>
          <w:rFonts w:hint="eastAsia" w:ascii="宋体" w:hAnsi="宋体" w:eastAsia="宋体" w:cs="宋体"/>
          <w:bCs/>
          <w:sz w:val="24"/>
          <w:szCs w:val="24"/>
          <w:highlight w:val="none"/>
          <w:lang w:eastAsia="zh-CN"/>
        </w:rPr>
        <w:t>，</w:t>
      </w:r>
      <w:r>
        <w:rPr>
          <w:rStyle w:val="33"/>
          <w:rFonts w:hint="eastAsia" w:ascii="宋体" w:hAnsi="宋体" w:eastAsia="宋体" w:cs="宋体"/>
          <w:bCs/>
          <w:sz w:val="24"/>
          <w:szCs w:val="24"/>
          <w:highlight w:val="none"/>
        </w:rPr>
        <w:t>符合</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的所有条款、条件和规定且无</w:t>
      </w:r>
      <w:r>
        <w:rPr>
          <w:rStyle w:val="33"/>
          <w:rFonts w:hint="eastAsia" w:ascii="宋体" w:hAnsi="宋体" w:eastAsia="宋体" w:cs="宋体"/>
          <w:bCs/>
          <w:sz w:val="24"/>
          <w:szCs w:val="24"/>
          <w:highlight w:val="none"/>
          <w:lang w:val="en-US" w:eastAsia="zh-CN"/>
        </w:rPr>
        <w:t>负</w:t>
      </w:r>
      <w:r>
        <w:rPr>
          <w:rStyle w:val="33"/>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5、</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中有近三年业绩证明，尽量提供在陕的销售</w:t>
      </w:r>
      <w:r>
        <w:rPr>
          <w:rStyle w:val="33"/>
          <w:rFonts w:hint="eastAsia" w:ascii="宋体" w:hAnsi="宋体" w:eastAsia="宋体" w:cs="宋体"/>
          <w:bCs/>
          <w:sz w:val="24"/>
          <w:szCs w:val="24"/>
          <w:highlight w:val="none"/>
          <w:lang w:eastAsia="zh-CN"/>
        </w:rPr>
        <w:t>或服务</w:t>
      </w:r>
      <w:r>
        <w:rPr>
          <w:rStyle w:val="33"/>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6、</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应对招标项目</w:t>
      </w:r>
      <w:r>
        <w:rPr>
          <w:rStyle w:val="33"/>
          <w:rFonts w:hint="eastAsia" w:ascii="宋体" w:hAnsi="宋体" w:eastAsia="宋体" w:cs="宋体"/>
          <w:bCs/>
          <w:sz w:val="24"/>
          <w:szCs w:val="24"/>
          <w:highlight w:val="none"/>
          <w:lang w:val="en-US" w:eastAsia="zh-CN"/>
        </w:rPr>
        <w:t>做出</w:t>
      </w:r>
      <w:r>
        <w:rPr>
          <w:rStyle w:val="33"/>
          <w:rFonts w:hint="eastAsia" w:ascii="宋体" w:hAnsi="宋体" w:eastAsia="宋体" w:cs="宋体"/>
          <w:bCs/>
          <w:sz w:val="24"/>
          <w:szCs w:val="24"/>
          <w:highlight w:val="none"/>
        </w:rPr>
        <w:t>合理的</w:t>
      </w:r>
      <w:r>
        <w:rPr>
          <w:rStyle w:val="33"/>
          <w:rFonts w:hint="eastAsia" w:ascii="宋体" w:hAnsi="宋体" w:eastAsia="宋体" w:cs="宋体"/>
          <w:bCs/>
          <w:sz w:val="24"/>
          <w:szCs w:val="24"/>
          <w:highlight w:val="none"/>
          <w:lang w:val="en-US" w:eastAsia="zh-CN"/>
        </w:rPr>
        <w:t>报价</w:t>
      </w:r>
      <w:r>
        <w:rPr>
          <w:rStyle w:val="33"/>
          <w:rFonts w:hint="eastAsia" w:ascii="宋体" w:hAnsi="宋体" w:eastAsia="宋体" w:cs="宋体"/>
          <w:bCs/>
          <w:sz w:val="24"/>
          <w:szCs w:val="24"/>
          <w:highlight w:val="none"/>
        </w:rPr>
        <w:t>，若报价高出</w:t>
      </w:r>
      <w:r>
        <w:rPr>
          <w:rStyle w:val="33"/>
          <w:rFonts w:hint="eastAsia" w:ascii="宋体" w:hAnsi="宋体" w:cs="宋体"/>
          <w:bCs/>
          <w:sz w:val="24"/>
          <w:szCs w:val="24"/>
          <w:highlight w:val="none"/>
          <w:lang w:val="en-US" w:eastAsia="zh-CN"/>
        </w:rPr>
        <w:t>招标限价</w:t>
      </w:r>
      <w:r>
        <w:rPr>
          <w:rStyle w:val="33"/>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8、开评标过程中</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应准确回答</w:t>
      </w:r>
      <w:r>
        <w:rPr>
          <w:rStyle w:val="33"/>
          <w:rFonts w:hint="eastAsia" w:ascii="宋体" w:hAnsi="宋体" w:eastAsia="宋体" w:cs="宋体"/>
          <w:bCs/>
          <w:sz w:val="24"/>
          <w:szCs w:val="24"/>
          <w:highlight w:val="none"/>
          <w:lang w:val="en-US" w:eastAsia="zh-CN"/>
        </w:rPr>
        <w:t>评标专家</w:t>
      </w:r>
      <w:r>
        <w:rPr>
          <w:rStyle w:val="33"/>
          <w:rFonts w:hint="eastAsia" w:ascii="宋体" w:hAnsi="宋体" w:eastAsia="宋体" w:cs="宋体"/>
          <w:bCs/>
          <w:sz w:val="24"/>
          <w:szCs w:val="24"/>
          <w:highlight w:val="none"/>
        </w:rPr>
        <w:t>的质询。</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8F11D0E">
      <w:pPr>
        <w:pStyle w:val="14"/>
        <w:pageBreakBefore w:val="0"/>
        <w:kinsoku/>
        <w:wordWrap/>
        <w:overflowPunct/>
        <w:topLinePunct w:val="0"/>
        <w:bidi w:val="0"/>
        <w:spacing w:line="360" w:lineRule="auto"/>
        <w:ind w:left="0" w:leftChars="0"/>
        <w:textAlignment w:val="auto"/>
        <w:rPr>
          <w:rStyle w:val="33"/>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6C3677A3">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color w:val="auto"/>
          <w:sz w:val="24"/>
          <w:szCs w:val="24"/>
          <w:lang w:val="en-US" w:eastAsia="zh-CN"/>
        </w:rPr>
        <w:t>近期我院秦都院区污水处理系统运行不稳定，现拟对秦都院区污水处理站控制柜及污水处理池体内部进行深度维修，具体维修内容如下：对污水处理站控制柜内CPU、拓展模块、显示屏、电源程序等损坏部件进行更换及调试；一级、二级</w:t>
      </w:r>
      <w:r>
        <w:rPr>
          <w:rFonts w:hint="eastAsia" w:ascii="宋体" w:hAnsi="宋体" w:cs="宋体"/>
          <w:sz w:val="24"/>
          <w:szCs w:val="24"/>
          <w:lang w:val="en-US" w:eastAsia="zh-CN"/>
        </w:rPr>
        <w:t>斜管沉池原填料及支架进行拆除并安装新填料及支架；所有调节池、接触消毒池、斜管沉淀池池体进行全面清理并对所有池体进行漏点排查及补漏，再对所有池体进行环氧煤沥青防腐处理，确保秦都院区污水处理系统的处理效果。</w:t>
      </w:r>
    </w:p>
    <w:p w14:paraId="72C9E214">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highlight w:val="none"/>
          <w:lang w:val="en-US" w:eastAsia="zh-CN"/>
        </w:rPr>
        <w:t>维修内容及要求</w:t>
      </w:r>
    </w:p>
    <w:p w14:paraId="43920134">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sz w:val="24"/>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维修清单及技术参数</w:t>
      </w:r>
    </w:p>
    <w:tbl>
      <w:tblPr>
        <w:tblStyle w:val="22"/>
        <w:tblW w:w="10181"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13"/>
        <w:gridCol w:w="1850"/>
        <w:gridCol w:w="1717"/>
        <w:gridCol w:w="704"/>
        <w:gridCol w:w="780"/>
        <w:gridCol w:w="941"/>
        <w:gridCol w:w="1170"/>
        <w:gridCol w:w="1336"/>
      </w:tblGrid>
      <w:tr w14:paraId="3AB7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0" w:type="dxa"/>
            <w:noWrap w:val="0"/>
            <w:vAlign w:val="center"/>
          </w:tcPr>
          <w:p w14:paraId="262659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序号</w:t>
            </w:r>
          </w:p>
        </w:tc>
        <w:tc>
          <w:tcPr>
            <w:tcW w:w="1113" w:type="dxa"/>
            <w:noWrap w:val="0"/>
            <w:vAlign w:val="center"/>
          </w:tcPr>
          <w:p w14:paraId="4C5D21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池体名称</w:t>
            </w:r>
          </w:p>
        </w:tc>
        <w:tc>
          <w:tcPr>
            <w:tcW w:w="1850" w:type="dxa"/>
            <w:noWrap w:val="0"/>
            <w:vAlign w:val="center"/>
          </w:tcPr>
          <w:p w14:paraId="7839C1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val="en-US" w:eastAsia="zh-CN"/>
              </w:rPr>
              <w:t>名材料称</w:t>
            </w:r>
          </w:p>
        </w:tc>
        <w:tc>
          <w:tcPr>
            <w:tcW w:w="1717" w:type="dxa"/>
            <w:noWrap w:val="0"/>
            <w:vAlign w:val="center"/>
          </w:tcPr>
          <w:p w14:paraId="299060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材质与规格</w:t>
            </w:r>
          </w:p>
        </w:tc>
        <w:tc>
          <w:tcPr>
            <w:tcW w:w="704" w:type="dxa"/>
            <w:noWrap w:val="0"/>
            <w:vAlign w:val="center"/>
          </w:tcPr>
          <w:p w14:paraId="2186B1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暂估量</w:t>
            </w:r>
          </w:p>
        </w:tc>
        <w:tc>
          <w:tcPr>
            <w:tcW w:w="780" w:type="dxa"/>
            <w:noWrap w:val="0"/>
            <w:vAlign w:val="center"/>
          </w:tcPr>
          <w:p w14:paraId="01E3DE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单位</w:t>
            </w:r>
          </w:p>
        </w:tc>
        <w:tc>
          <w:tcPr>
            <w:tcW w:w="941" w:type="dxa"/>
            <w:noWrap w:val="0"/>
            <w:vAlign w:val="center"/>
          </w:tcPr>
          <w:p w14:paraId="003B8F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val="en-US" w:eastAsia="zh-CN"/>
              </w:rPr>
              <w:t>限价（元）</w:t>
            </w:r>
          </w:p>
        </w:tc>
        <w:tc>
          <w:tcPr>
            <w:tcW w:w="1170" w:type="dxa"/>
            <w:noWrap w:val="0"/>
            <w:vAlign w:val="center"/>
          </w:tcPr>
          <w:p w14:paraId="53CD5E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总价</w:t>
            </w:r>
          </w:p>
          <w:p w14:paraId="05EAA5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bCs/>
                <w:color w:val="auto"/>
                <w:sz w:val="22"/>
                <w:szCs w:val="22"/>
                <w:highlight w:val="none"/>
                <w:lang w:val="en-US"/>
              </w:rPr>
            </w:pPr>
            <w:r>
              <w:rPr>
                <w:rFonts w:hint="eastAsia" w:ascii="仿宋" w:hAnsi="仿宋" w:eastAsia="仿宋" w:cs="仿宋"/>
                <w:b/>
                <w:bCs/>
                <w:color w:val="auto"/>
                <w:sz w:val="22"/>
                <w:szCs w:val="22"/>
                <w:highlight w:val="none"/>
                <w:lang w:val="en-US" w:eastAsia="zh-CN"/>
              </w:rPr>
              <w:t>（元）</w:t>
            </w:r>
          </w:p>
        </w:tc>
        <w:tc>
          <w:tcPr>
            <w:tcW w:w="1336" w:type="dxa"/>
            <w:noWrap w:val="0"/>
            <w:vAlign w:val="center"/>
          </w:tcPr>
          <w:p w14:paraId="7A3D43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备注</w:t>
            </w:r>
          </w:p>
        </w:tc>
      </w:tr>
      <w:tr w14:paraId="345D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70" w:type="dxa"/>
            <w:noWrap w:val="0"/>
            <w:vAlign w:val="center"/>
          </w:tcPr>
          <w:p w14:paraId="0DE257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113" w:type="dxa"/>
            <w:noWrap w:val="0"/>
            <w:vAlign w:val="center"/>
          </w:tcPr>
          <w:p w14:paraId="695DB0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电控柜维修</w:t>
            </w:r>
          </w:p>
        </w:tc>
        <w:tc>
          <w:tcPr>
            <w:tcW w:w="1850" w:type="dxa"/>
            <w:noWrap w:val="0"/>
            <w:vAlign w:val="center"/>
          </w:tcPr>
          <w:p w14:paraId="77C42C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更换CPU、拓展模块2块、触摸屏、开关电源、程序调试</w:t>
            </w:r>
          </w:p>
        </w:tc>
        <w:tc>
          <w:tcPr>
            <w:tcW w:w="1717" w:type="dxa"/>
            <w:noWrap w:val="0"/>
            <w:vAlign w:val="center"/>
          </w:tcPr>
          <w:p w14:paraId="0E6B736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更换CPU、拓展模块2块、触摸屏、开关电源、程序调试</w:t>
            </w:r>
          </w:p>
        </w:tc>
        <w:tc>
          <w:tcPr>
            <w:tcW w:w="704" w:type="dxa"/>
            <w:noWrap w:val="0"/>
            <w:vAlign w:val="center"/>
          </w:tcPr>
          <w:p w14:paraId="7B7827E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780" w:type="dxa"/>
            <w:noWrap w:val="0"/>
            <w:vAlign w:val="center"/>
          </w:tcPr>
          <w:p w14:paraId="3FF5E19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台</w:t>
            </w:r>
          </w:p>
        </w:tc>
        <w:tc>
          <w:tcPr>
            <w:tcW w:w="941" w:type="dxa"/>
            <w:noWrap w:val="0"/>
            <w:vAlign w:val="center"/>
          </w:tcPr>
          <w:p w14:paraId="38BD5BE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13500</w:t>
            </w:r>
          </w:p>
        </w:tc>
        <w:tc>
          <w:tcPr>
            <w:tcW w:w="1170" w:type="dxa"/>
            <w:noWrap w:val="0"/>
            <w:vAlign w:val="center"/>
          </w:tcPr>
          <w:p w14:paraId="146C27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13500</w:t>
            </w:r>
          </w:p>
        </w:tc>
        <w:tc>
          <w:tcPr>
            <w:tcW w:w="1336" w:type="dxa"/>
            <w:noWrap w:val="0"/>
            <w:vAlign w:val="center"/>
          </w:tcPr>
          <w:p w14:paraId="135FBC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lang w:val="en-US" w:eastAsia="zh-CN"/>
              </w:rPr>
            </w:pPr>
          </w:p>
        </w:tc>
      </w:tr>
      <w:tr w14:paraId="38EA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0" w:type="dxa"/>
            <w:vMerge w:val="restart"/>
            <w:noWrap w:val="0"/>
            <w:vAlign w:val="center"/>
          </w:tcPr>
          <w:p w14:paraId="566CB1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113" w:type="dxa"/>
            <w:vMerge w:val="restart"/>
            <w:noWrap w:val="0"/>
            <w:vAlign w:val="center"/>
          </w:tcPr>
          <w:p w14:paraId="0F59E9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斜管沉淀池</w:t>
            </w:r>
          </w:p>
        </w:tc>
        <w:tc>
          <w:tcPr>
            <w:tcW w:w="1850" w:type="dxa"/>
            <w:noWrap w:val="0"/>
            <w:vAlign w:val="center"/>
          </w:tcPr>
          <w:p w14:paraId="67BDE2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一级斜管沉淀池专用填料装置及支架拆除</w:t>
            </w:r>
          </w:p>
        </w:tc>
        <w:tc>
          <w:tcPr>
            <w:tcW w:w="1717" w:type="dxa"/>
            <w:noWrap w:val="0"/>
            <w:vAlign w:val="center"/>
          </w:tcPr>
          <w:p w14:paraId="4E0BB2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池体尺寸：3.0*4.0*4.5m（ 1 座）</w:t>
            </w:r>
          </w:p>
        </w:tc>
        <w:tc>
          <w:tcPr>
            <w:tcW w:w="704" w:type="dxa"/>
            <w:noWrap w:val="0"/>
            <w:vAlign w:val="center"/>
          </w:tcPr>
          <w:p w14:paraId="530855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54</w:t>
            </w:r>
          </w:p>
        </w:tc>
        <w:tc>
          <w:tcPr>
            <w:tcW w:w="780" w:type="dxa"/>
            <w:noWrap w:val="0"/>
            <w:vAlign w:val="center"/>
          </w:tcPr>
          <w:p w14:paraId="139961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m³</w:t>
            </w:r>
          </w:p>
        </w:tc>
        <w:tc>
          <w:tcPr>
            <w:tcW w:w="941" w:type="dxa"/>
            <w:noWrap w:val="0"/>
            <w:vAlign w:val="center"/>
          </w:tcPr>
          <w:p w14:paraId="2C04E90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100</w:t>
            </w:r>
          </w:p>
        </w:tc>
        <w:tc>
          <w:tcPr>
            <w:tcW w:w="1170" w:type="dxa"/>
            <w:noWrap w:val="0"/>
            <w:vAlign w:val="center"/>
          </w:tcPr>
          <w:p w14:paraId="3AC1C22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5400</w:t>
            </w:r>
          </w:p>
        </w:tc>
        <w:tc>
          <w:tcPr>
            <w:tcW w:w="1336" w:type="dxa"/>
            <w:noWrap w:val="0"/>
            <w:vAlign w:val="center"/>
          </w:tcPr>
          <w:p w14:paraId="7981BDB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地下4米，地上3米</w:t>
            </w:r>
          </w:p>
        </w:tc>
      </w:tr>
      <w:tr w14:paraId="395A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0" w:type="dxa"/>
            <w:vMerge w:val="continue"/>
            <w:noWrap w:val="0"/>
            <w:vAlign w:val="center"/>
          </w:tcPr>
          <w:p w14:paraId="04F2A0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113" w:type="dxa"/>
            <w:vMerge w:val="continue"/>
            <w:noWrap w:val="0"/>
            <w:vAlign w:val="center"/>
          </w:tcPr>
          <w:p w14:paraId="0FC2D2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850" w:type="dxa"/>
            <w:noWrap w:val="0"/>
            <w:vAlign w:val="center"/>
          </w:tcPr>
          <w:p w14:paraId="6111C1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二级斜管沉淀池专用填料装置及支架拆除</w:t>
            </w:r>
          </w:p>
        </w:tc>
        <w:tc>
          <w:tcPr>
            <w:tcW w:w="1717" w:type="dxa"/>
            <w:noWrap w:val="0"/>
            <w:vAlign w:val="center"/>
          </w:tcPr>
          <w:p w14:paraId="270578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池体尺寸：3.0*4.0*4.5m（ 1 座）</w:t>
            </w:r>
          </w:p>
        </w:tc>
        <w:tc>
          <w:tcPr>
            <w:tcW w:w="704" w:type="dxa"/>
            <w:noWrap w:val="0"/>
            <w:vAlign w:val="center"/>
          </w:tcPr>
          <w:p w14:paraId="62C0A8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54</w:t>
            </w:r>
          </w:p>
        </w:tc>
        <w:tc>
          <w:tcPr>
            <w:tcW w:w="780" w:type="dxa"/>
            <w:noWrap w:val="0"/>
            <w:vAlign w:val="center"/>
          </w:tcPr>
          <w:p w14:paraId="21C8DC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m³</w:t>
            </w:r>
          </w:p>
        </w:tc>
        <w:tc>
          <w:tcPr>
            <w:tcW w:w="941" w:type="dxa"/>
            <w:noWrap w:val="0"/>
            <w:vAlign w:val="center"/>
          </w:tcPr>
          <w:p w14:paraId="316D94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w:t>
            </w:r>
          </w:p>
        </w:tc>
        <w:tc>
          <w:tcPr>
            <w:tcW w:w="1170" w:type="dxa"/>
            <w:noWrap w:val="0"/>
            <w:vAlign w:val="center"/>
          </w:tcPr>
          <w:p w14:paraId="2B308D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5400</w:t>
            </w:r>
          </w:p>
        </w:tc>
        <w:tc>
          <w:tcPr>
            <w:tcW w:w="1336" w:type="dxa"/>
            <w:noWrap w:val="0"/>
            <w:vAlign w:val="center"/>
          </w:tcPr>
          <w:p w14:paraId="4F7A82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地下4米，地上3米</w:t>
            </w:r>
          </w:p>
        </w:tc>
      </w:tr>
      <w:tr w14:paraId="3366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70" w:type="dxa"/>
            <w:vMerge w:val="restart"/>
            <w:noWrap w:val="0"/>
            <w:vAlign w:val="center"/>
          </w:tcPr>
          <w:p w14:paraId="3C50BB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113" w:type="dxa"/>
            <w:vMerge w:val="restart"/>
            <w:noWrap w:val="0"/>
            <w:vAlign w:val="center"/>
          </w:tcPr>
          <w:p w14:paraId="340837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斜管沉淀池</w:t>
            </w:r>
          </w:p>
        </w:tc>
        <w:tc>
          <w:tcPr>
            <w:tcW w:w="1850" w:type="dxa"/>
            <w:noWrap w:val="0"/>
            <w:vAlign w:val="center"/>
          </w:tcPr>
          <w:p w14:paraId="4E1AB5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一级斜管沉淀池填料</w:t>
            </w:r>
          </w:p>
        </w:tc>
        <w:tc>
          <w:tcPr>
            <w:tcW w:w="1717" w:type="dxa"/>
            <w:noWrap w:val="0"/>
            <w:vAlign w:val="center"/>
          </w:tcPr>
          <w:p w14:paraId="0B898A4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非标定制，装填高度： 0.87m ，服务面积 12</w:t>
            </w:r>
            <w:r>
              <w:rPr>
                <w:rFonts w:hint="eastAsia" w:ascii="仿宋" w:hAnsi="仿宋" w:eastAsia="仿宋" w:cs="仿宋"/>
                <w:color w:val="auto"/>
                <w:sz w:val="21"/>
                <w:szCs w:val="21"/>
                <w:highlight w:val="none"/>
                <w:lang w:val="en-US" w:eastAsia="zh-CN"/>
              </w:rPr>
              <w:t>㎡</w:t>
            </w:r>
          </w:p>
        </w:tc>
        <w:tc>
          <w:tcPr>
            <w:tcW w:w="704" w:type="dxa"/>
            <w:noWrap w:val="0"/>
            <w:vAlign w:val="center"/>
          </w:tcPr>
          <w:p w14:paraId="3740298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36</w:t>
            </w:r>
          </w:p>
        </w:tc>
        <w:tc>
          <w:tcPr>
            <w:tcW w:w="780" w:type="dxa"/>
            <w:noWrap w:val="0"/>
            <w:vAlign w:val="center"/>
          </w:tcPr>
          <w:p w14:paraId="57205AC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m³</w:t>
            </w:r>
          </w:p>
        </w:tc>
        <w:tc>
          <w:tcPr>
            <w:tcW w:w="941" w:type="dxa"/>
            <w:noWrap w:val="0"/>
            <w:vAlign w:val="center"/>
          </w:tcPr>
          <w:p w14:paraId="3D55CE8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480</w:t>
            </w:r>
          </w:p>
        </w:tc>
        <w:tc>
          <w:tcPr>
            <w:tcW w:w="1170" w:type="dxa"/>
            <w:noWrap w:val="0"/>
            <w:vAlign w:val="center"/>
          </w:tcPr>
          <w:p w14:paraId="0D316D9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17280</w:t>
            </w:r>
          </w:p>
        </w:tc>
        <w:tc>
          <w:tcPr>
            <w:tcW w:w="1336" w:type="dxa"/>
            <w:noWrap w:val="0"/>
            <w:vAlign w:val="center"/>
          </w:tcPr>
          <w:p w14:paraId="2B950BE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lang w:val="en-US" w:eastAsia="zh-CN"/>
              </w:rPr>
            </w:pPr>
          </w:p>
        </w:tc>
      </w:tr>
      <w:tr w14:paraId="7770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70" w:type="dxa"/>
            <w:vMerge w:val="continue"/>
            <w:noWrap w:val="0"/>
            <w:vAlign w:val="center"/>
          </w:tcPr>
          <w:p w14:paraId="3CCC6A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113" w:type="dxa"/>
            <w:vMerge w:val="continue"/>
            <w:noWrap w:val="0"/>
            <w:vAlign w:val="center"/>
          </w:tcPr>
          <w:p w14:paraId="65AA2D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850" w:type="dxa"/>
            <w:noWrap w:val="0"/>
            <w:vAlign w:val="center"/>
          </w:tcPr>
          <w:p w14:paraId="5CB2D0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一级斜管沉淀池填料支架</w:t>
            </w:r>
          </w:p>
        </w:tc>
        <w:tc>
          <w:tcPr>
            <w:tcW w:w="1717" w:type="dxa"/>
            <w:noWrap w:val="0"/>
            <w:vAlign w:val="center"/>
          </w:tcPr>
          <w:p w14:paraId="097F52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碳钢+环氧煤沥青防腐</w:t>
            </w:r>
          </w:p>
        </w:tc>
        <w:tc>
          <w:tcPr>
            <w:tcW w:w="704" w:type="dxa"/>
            <w:noWrap w:val="0"/>
            <w:vAlign w:val="center"/>
          </w:tcPr>
          <w:p w14:paraId="0B3E30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780" w:type="dxa"/>
            <w:noWrap w:val="0"/>
            <w:vAlign w:val="center"/>
          </w:tcPr>
          <w:p w14:paraId="68C859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41" w:type="dxa"/>
            <w:noWrap w:val="0"/>
            <w:vAlign w:val="center"/>
          </w:tcPr>
          <w:p w14:paraId="54522B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200</w:t>
            </w:r>
          </w:p>
        </w:tc>
        <w:tc>
          <w:tcPr>
            <w:tcW w:w="1170" w:type="dxa"/>
            <w:noWrap w:val="0"/>
            <w:vAlign w:val="center"/>
          </w:tcPr>
          <w:p w14:paraId="23CE5A1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2400</w:t>
            </w:r>
          </w:p>
        </w:tc>
        <w:tc>
          <w:tcPr>
            <w:tcW w:w="1336" w:type="dxa"/>
            <w:noWrap w:val="0"/>
            <w:vAlign w:val="center"/>
          </w:tcPr>
          <w:p w14:paraId="3A952C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水平±5mm，非标定制，现场制作</w:t>
            </w:r>
          </w:p>
        </w:tc>
      </w:tr>
      <w:tr w14:paraId="6F4F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70" w:type="dxa"/>
            <w:vMerge w:val="continue"/>
            <w:noWrap w:val="0"/>
            <w:vAlign w:val="center"/>
          </w:tcPr>
          <w:p w14:paraId="7E2770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113" w:type="dxa"/>
            <w:vMerge w:val="continue"/>
            <w:noWrap w:val="0"/>
            <w:vAlign w:val="center"/>
          </w:tcPr>
          <w:p w14:paraId="1AE636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850" w:type="dxa"/>
            <w:noWrap w:val="0"/>
            <w:vAlign w:val="center"/>
          </w:tcPr>
          <w:p w14:paraId="539B29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二段斜管沉淀池填料</w:t>
            </w:r>
          </w:p>
        </w:tc>
        <w:tc>
          <w:tcPr>
            <w:tcW w:w="1717" w:type="dxa"/>
            <w:noWrap w:val="0"/>
            <w:vAlign w:val="center"/>
          </w:tcPr>
          <w:p w14:paraId="18F4DA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非标定制，装填高度： 0.87m ，服务面积 12</w:t>
            </w:r>
            <w:r>
              <w:rPr>
                <w:rFonts w:hint="eastAsia" w:ascii="仿宋" w:hAnsi="仿宋" w:eastAsia="仿宋" w:cs="仿宋"/>
                <w:color w:val="auto"/>
                <w:sz w:val="21"/>
                <w:szCs w:val="21"/>
                <w:highlight w:val="none"/>
                <w:lang w:val="en-US" w:eastAsia="zh-CN"/>
              </w:rPr>
              <w:t>㎡</w:t>
            </w:r>
          </w:p>
        </w:tc>
        <w:tc>
          <w:tcPr>
            <w:tcW w:w="704" w:type="dxa"/>
            <w:noWrap w:val="0"/>
            <w:vAlign w:val="center"/>
          </w:tcPr>
          <w:p w14:paraId="3B0D13A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36</w:t>
            </w:r>
          </w:p>
        </w:tc>
        <w:tc>
          <w:tcPr>
            <w:tcW w:w="780" w:type="dxa"/>
            <w:noWrap w:val="0"/>
            <w:vAlign w:val="center"/>
          </w:tcPr>
          <w:p w14:paraId="332464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m³</w:t>
            </w:r>
          </w:p>
        </w:tc>
        <w:tc>
          <w:tcPr>
            <w:tcW w:w="941" w:type="dxa"/>
            <w:noWrap w:val="0"/>
            <w:vAlign w:val="center"/>
          </w:tcPr>
          <w:p w14:paraId="6C5ABA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480</w:t>
            </w:r>
          </w:p>
        </w:tc>
        <w:tc>
          <w:tcPr>
            <w:tcW w:w="1170" w:type="dxa"/>
            <w:noWrap w:val="0"/>
            <w:vAlign w:val="center"/>
          </w:tcPr>
          <w:p w14:paraId="237299B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17280</w:t>
            </w:r>
          </w:p>
        </w:tc>
        <w:tc>
          <w:tcPr>
            <w:tcW w:w="1336" w:type="dxa"/>
            <w:noWrap w:val="0"/>
            <w:vAlign w:val="center"/>
          </w:tcPr>
          <w:p w14:paraId="56E3F86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lang w:val="en-US" w:eastAsia="zh-CN"/>
              </w:rPr>
            </w:pPr>
          </w:p>
        </w:tc>
      </w:tr>
      <w:tr w14:paraId="6151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70" w:type="dxa"/>
            <w:vMerge w:val="continue"/>
            <w:noWrap w:val="0"/>
            <w:vAlign w:val="center"/>
          </w:tcPr>
          <w:p w14:paraId="76061E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113" w:type="dxa"/>
            <w:vMerge w:val="continue"/>
            <w:noWrap w:val="0"/>
            <w:vAlign w:val="center"/>
          </w:tcPr>
          <w:p w14:paraId="56C9A1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850" w:type="dxa"/>
            <w:noWrap w:val="0"/>
            <w:vAlign w:val="center"/>
          </w:tcPr>
          <w:p w14:paraId="311FD4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二段斜管沉淀池填料装置支架</w:t>
            </w:r>
          </w:p>
        </w:tc>
        <w:tc>
          <w:tcPr>
            <w:tcW w:w="1717" w:type="dxa"/>
            <w:noWrap w:val="0"/>
            <w:vAlign w:val="center"/>
          </w:tcPr>
          <w:p w14:paraId="1728B5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碳钢+环氧煤沥青防腐</w:t>
            </w:r>
          </w:p>
        </w:tc>
        <w:tc>
          <w:tcPr>
            <w:tcW w:w="704" w:type="dxa"/>
            <w:noWrap w:val="0"/>
            <w:vAlign w:val="center"/>
          </w:tcPr>
          <w:p w14:paraId="2FEAC6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780" w:type="dxa"/>
            <w:noWrap w:val="0"/>
            <w:vAlign w:val="center"/>
          </w:tcPr>
          <w:p w14:paraId="127B9F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41" w:type="dxa"/>
            <w:noWrap w:val="0"/>
            <w:vAlign w:val="center"/>
          </w:tcPr>
          <w:p w14:paraId="72F6CC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200</w:t>
            </w:r>
          </w:p>
        </w:tc>
        <w:tc>
          <w:tcPr>
            <w:tcW w:w="1170" w:type="dxa"/>
            <w:noWrap w:val="0"/>
            <w:vAlign w:val="center"/>
          </w:tcPr>
          <w:p w14:paraId="58F37A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2400</w:t>
            </w:r>
          </w:p>
        </w:tc>
        <w:tc>
          <w:tcPr>
            <w:tcW w:w="1336" w:type="dxa"/>
            <w:noWrap w:val="0"/>
            <w:vAlign w:val="center"/>
          </w:tcPr>
          <w:p w14:paraId="4B2F16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水平±5mm，非标定制，现场制作</w:t>
            </w:r>
          </w:p>
        </w:tc>
      </w:tr>
      <w:tr w14:paraId="4E3C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70" w:type="dxa"/>
            <w:noWrap w:val="0"/>
            <w:vAlign w:val="center"/>
          </w:tcPr>
          <w:p w14:paraId="4BF856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6164" w:type="dxa"/>
            <w:gridSpan w:val="5"/>
            <w:noWrap w:val="0"/>
            <w:vAlign w:val="center"/>
          </w:tcPr>
          <w:p w14:paraId="768CF5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3个调节池160m³、一级斜管沉淀池54m³、二级斜管沉淀池54m³、接触消毒池112.5m³池体全面清理，检修维护，漏点排查，所有池体进行环氧煤沥青防腐</w:t>
            </w:r>
          </w:p>
        </w:tc>
        <w:tc>
          <w:tcPr>
            <w:tcW w:w="941" w:type="dxa"/>
            <w:noWrap w:val="0"/>
            <w:vAlign w:val="center"/>
          </w:tcPr>
          <w:p w14:paraId="7B90A9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170" w:type="dxa"/>
            <w:noWrap w:val="0"/>
            <w:vAlign w:val="center"/>
          </w:tcPr>
          <w:p w14:paraId="05ED39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89691</w:t>
            </w:r>
          </w:p>
        </w:tc>
        <w:tc>
          <w:tcPr>
            <w:tcW w:w="1336" w:type="dxa"/>
            <w:noWrap w:val="0"/>
            <w:vAlign w:val="center"/>
          </w:tcPr>
          <w:p w14:paraId="53A3B5F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lang w:val="en-US" w:eastAsia="zh-CN"/>
              </w:rPr>
            </w:pPr>
          </w:p>
        </w:tc>
      </w:tr>
      <w:tr w14:paraId="2762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70" w:type="dxa"/>
            <w:noWrap w:val="0"/>
            <w:vAlign w:val="center"/>
          </w:tcPr>
          <w:p w14:paraId="33821C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6164" w:type="dxa"/>
            <w:gridSpan w:val="5"/>
            <w:noWrap w:val="0"/>
            <w:vAlign w:val="center"/>
          </w:tcPr>
          <w:p w14:paraId="6548EA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漏点补漏（含管线探测，漏点排查，开挖修复全流程）</w:t>
            </w:r>
          </w:p>
        </w:tc>
        <w:tc>
          <w:tcPr>
            <w:tcW w:w="941" w:type="dxa"/>
            <w:noWrap w:val="0"/>
            <w:vAlign w:val="center"/>
          </w:tcPr>
          <w:p w14:paraId="48260D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170" w:type="dxa"/>
            <w:noWrap w:val="0"/>
            <w:vAlign w:val="center"/>
          </w:tcPr>
          <w:p w14:paraId="05BCBB4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4850</w:t>
            </w:r>
          </w:p>
        </w:tc>
        <w:tc>
          <w:tcPr>
            <w:tcW w:w="1336" w:type="dxa"/>
            <w:noWrap w:val="0"/>
            <w:vAlign w:val="center"/>
          </w:tcPr>
          <w:p w14:paraId="65CDBF4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lang w:val="en-US" w:eastAsia="zh-CN"/>
              </w:rPr>
            </w:pPr>
          </w:p>
        </w:tc>
      </w:tr>
      <w:tr w14:paraId="224C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70" w:type="dxa"/>
            <w:noWrap w:val="0"/>
            <w:vAlign w:val="center"/>
          </w:tcPr>
          <w:p w14:paraId="59023C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6164" w:type="dxa"/>
            <w:gridSpan w:val="5"/>
            <w:noWrap w:val="0"/>
            <w:vAlign w:val="center"/>
          </w:tcPr>
          <w:p w14:paraId="64CC65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辅材、安装、运费</w:t>
            </w:r>
          </w:p>
        </w:tc>
        <w:tc>
          <w:tcPr>
            <w:tcW w:w="941" w:type="dxa"/>
            <w:noWrap w:val="0"/>
            <w:vAlign w:val="center"/>
          </w:tcPr>
          <w:p w14:paraId="6E4CBB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170" w:type="dxa"/>
            <w:noWrap w:val="0"/>
            <w:vAlign w:val="center"/>
          </w:tcPr>
          <w:p w14:paraId="1447F0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2400</w:t>
            </w:r>
          </w:p>
        </w:tc>
        <w:tc>
          <w:tcPr>
            <w:tcW w:w="1336" w:type="dxa"/>
            <w:noWrap w:val="0"/>
            <w:vAlign w:val="center"/>
          </w:tcPr>
          <w:p w14:paraId="0217DB8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highlight w:val="none"/>
                <w:lang w:val="en-US" w:eastAsia="zh-CN"/>
              </w:rPr>
            </w:pPr>
          </w:p>
        </w:tc>
      </w:tr>
      <w:tr w14:paraId="3824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0" w:type="dxa"/>
            <w:noWrap w:val="0"/>
            <w:vAlign w:val="center"/>
          </w:tcPr>
          <w:p w14:paraId="45E5FC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7105" w:type="dxa"/>
            <w:gridSpan w:val="6"/>
            <w:noWrap w:val="0"/>
            <w:vAlign w:val="center"/>
          </w:tcPr>
          <w:p w14:paraId="2EA1A3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税费</w:t>
            </w:r>
          </w:p>
        </w:tc>
        <w:tc>
          <w:tcPr>
            <w:tcW w:w="1170" w:type="dxa"/>
            <w:noWrap w:val="0"/>
            <w:vAlign w:val="center"/>
          </w:tcPr>
          <w:p w14:paraId="1EB51C6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14454.09</w:t>
            </w:r>
          </w:p>
        </w:tc>
        <w:tc>
          <w:tcPr>
            <w:tcW w:w="1336" w:type="dxa"/>
            <w:noWrap w:val="0"/>
            <w:vAlign w:val="center"/>
          </w:tcPr>
          <w:p w14:paraId="5B0132E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2"/>
                <w:szCs w:val="22"/>
                <w:highlight w:val="none"/>
                <w:lang w:val="en-US" w:eastAsia="zh-CN"/>
              </w:rPr>
            </w:pPr>
          </w:p>
        </w:tc>
      </w:tr>
      <w:tr w14:paraId="4FA6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0" w:type="dxa"/>
            <w:noWrap w:val="0"/>
            <w:vAlign w:val="center"/>
          </w:tcPr>
          <w:p w14:paraId="703FD2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7105" w:type="dxa"/>
            <w:gridSpan w:val="6"/>
            <w:noWrap w:val="0"/>
            <w:vAlign w:val="center"/>
          </w:tcPr>
          <w:p w14:paraId="61134B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合计</w:t>
            </w:r>
          </w:p>
        </w:tc>
        <w:tc>
          <w:tcPr>
            <w:tcW w:w="1170" w:type="dxa"/>
            <w:noWrap w:val="0"/>
            <w:vAlign w:val="center"/>
          </w:tcPr>
          <w:p w14:paraId="610C3D1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175055.09</w:t>
            </w:r>
          </w:p>
        </w:tc>
        <w:tc>
          <w:tcPr>
            <w:tcW w:w="1336" w:type="dxa"/>
            <w:noWrap w:val="0"/>
            <w:vAlign w:val="center"/>
          </w:tcPr>
          <w:p w14:paraId="0B5FC1A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2"/>
                <w:szCs w:val="22"/>
                <w:highlight w:val="none"/>
                <w:lang w:val="en-US" w:eastAsia="zh-CN"/>
              </w:rPr>
            </w:pPr>
          </w:p>
        </w:tc>
      </w:tr>
      <w:tr w14:paraId="4A4C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181" w:type="dxa"/>
            <w:gridSpan w:val="9"/>
            <w:noWrap w:val="0"/>
            <w:vAlign w:val="center"/>
          </w:tcPr>
          <w:p w14:paraId="2F32A6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备注：根据实际用料及工程量据实结算</w:t>
            </w:r>
          </w:p>
        </w:tc>
      </w:tr>
    </w:tbl>
    <w:p w14:paraId="01266B70">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lang w:val="en-US" w:eastAsia="zh-CN"/>
        </w:rPr>
        <w:t>更换安装</w:t>
      </w:r>
      <w:r>
        <w:rPr>
          <w:rFonts w:hint="eastAsia" w:ascii="宋体" w:hAnsi="宋体" w:eastAsia="宋体" w:cs="宋体"/>
          <w:b/>
          <w:bCs/>
          <w:sz w:val="24"/>
          <w:szCs w:val="24"/>
          <w:highlight w:val="none"/>
          <w:lang w:val="en-US" w:eastAsia="zh-CN"/>
        </w:rPr>
        <w:t>要求</w:t>
      </w:r>
    </w:p>
    <w:p w14:paraId="6357F9F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需对污水站内电控柜进行维修，对控制柜内损坏原件进行更换，包含但不限于更换CPU、拓展模块2块、触摸屏、开关电源，更换后应对电控柜进行调试，确保电控柜操作指令等各项正常，显示数据及指示灯准确；需将原一级、二级斜管沉淀池内生物填料及填料支架拆除，拆除后安装新的填料及填料支架；对所有调节池、一级、二级斜管沉淀池、接触消毒池池体全面清理，检修维护，漏点排查，所有池体做环氧煤沥青防腐处理。</w:t>
      </w:r>
    </w:p>
    <w:p w14:paraId="7D07980D">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color w:val="0000FF"/>
          <w:lang w:eastAsia="zh-CN"/>
        </w:rPr>
      </w:pPr>
      <w:r>
        <w:rPr>
          <w:rFonts w:hint="eastAsia" w:ascii="宋体" w:hAnsi="宋体" w:cs="宋体"/>
          <w:b/>
          <w:bCs/>
          <w:sz w:val="24"/>
          <w:szCs w:val="24"/>
          <w:lang w:val="en-US" w:eastAsia="zh-CN"/>
        </w:rPr>
        <w:t>所有相关池体内清掏的废弃填料，按院方要求放至指定地点，由院方交有资质的单位进行处置，工期20天。</w:t>
      </w:r>
    </w:p>
    <w:p w14:paraId="35DB878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2、需执行的国家相关标准、行业标准、地方标准或者其他标准、规范：</w:t>
      </w:r>
    </w:p>
    <w:p w14:paraId="340E23E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cs="宋体"/>
          <w:sz w:val="24"/>
          <w:szCs w:val="24"/>
          <w:u w:val="single"/>
          <w:lang w:val="en-US" w:eastAsia="zh-CN"/>
        </w:rPr>
      </w:pPr>
      <w:r>
        <w:rPr>
          <w:rFonts w:hint="eastAsia" w:ascii="宋体" w:hAnsi="宋体" w:cs="宋体"/>
          <w:sz w:val="24"/>
          <w:szCs w:val="24"/>
          <w:u w:val="single"/>
          <w:lang w:val="en-US" w:eastAsia="zh-CN"/>
        </w:rPr>
        <w:t>调试完成后，污水站污水排放指标应达到《医疗机构水污染物排放标准GB18466-2005》</w:t>
      </w:r>
    </w:p>
    <w:p w14:paraId="5EEEEE2C">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textAlignment w:val="auto"/>
        <w:rPr>
          <w:rFonts w:hint="eastAsia" w:ascii="宋体" w:hAnsi="宋体" w:eastAsia="宋体" w:cs="宋体"/>
          <w:b w:val="0"/>
          <w:kern w:val="2"/>
          <w:sz w:val="24"/>
          <w:szCs w:val="24"/>
          <w:u w:val="none"/>
          <w:lang w:val="en-US" w:eastAsia="zh-CN" w:bidi="ar-SA"/>
        </w:rPr>
      </w:pPr>
      <w:r>
        <w:rPr>
          <w:rFonts w:hint="eastAsia" w:ascii="宋体" w:hAnsi="宋体" w:eastAsia="宋体" w:cs="宋体"/>
          <w:b w:val="0"/>
          <w:kern w:val="2"/>
          <w:sz w:val="24"/>
          <w:szCs w:val="24"/>
          <w:u w:val="none"/>
          <w:lang w:val="en-US" w:eastAsia="zh-CN" w:bidi="ar-SA"/>
        </w:rPr>
        <w:t>3、货物包装运输、供货时间、供货地点、技术保障等要求</w:t>
      </w:r>
      <w:r>
        <w:rPr>
          <w:rFonts w:hint="eastAsia" w:ascii="宋体" w:hAnsi="宋体" w:cs="宋体"/>
          <w:b w:val="0"/>
          <w:kern w:val="2"/>
          <w:sz w:val="24"/>
          <w:szCs w:val="24"/>
          <w:u w:val="none"/>
          <w:lang w:val="en-US" w:eastAsia="zh-CN" w:bidi="ar-SA"/>
        </w:rPr>
        <w:t>：</w:t>
      </w:r>
    </w:p>
    <w:p w14:paraId="504BDFE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b w:val="0"/>
          <w:kern w:val="2"/>
          <w:sz w:val="24"/>
          <w:szCs w:val="24"/>
          <w:u w:val="none"/>
          <w:lang w:val="en-US" w:eastAsia="zh-CN" w:bidi="ar-SA"/>
        </w:rPr>
      </w:pPr>
      <w:r>
        <w:rPr>
          <w:rFonts w:hint="eastAsia" w:ascii="宋体" w:hAnsi="宋体" w:eastAsia="宋体" w:cs="宋体"/>
          <w:b w:val="0"/>
          <w:kern w:val="2"/>
          <w:sz w:val="24"/>
          <w:szCs w:val="24"/>
          <w:u w:val="none"/>
          <w:lang w:val="en-US" w:eastAsia="zh-CN" w:bidi="ar-SA"/>
        </w:rPr>
        <w:t>3.1、乙方的产品质量应当符合国家行业规定的标准，并无任何瑕疵。</w:t>
      </w:r>
    </w:p>
    <w:p w14:paraId="20A6996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kern w:val="2"/>
          <w:sz w:val="24"/>
          <w:szCs w:val="24"/>
          <w:u w:val="none"/>
          <w:lang w:val="en-US" w:eastAsia="zh-CN" w:bidi="ar-SA"/>
        </w:rPr>
      </w:pPr>
      <w:r>
        <w:rPr>
          <w:rFonts w:hint="eastAsia" w:ascii="宋体" w:hAnsi="宋体" w:eastAsia="宋体" w:cs="宋体"/>
          <w:b w:val="0"/>
          <w:kern w:val="2"/>
          <w:sz w:val="24"/>
          <w:szCs w:val="24"/>
          <w:u w:val="none"/>
          <w:lang w:val="en-US" w:eastAsia="zh-CN" w:bidi="ar-SA"/>
        </w:rPr>
        <w:t>3.2、如因该产品本身的质量原因而在运输及安装过程中造成的任何事故纠纷，由乙方全额负责赔偿。</w:t>
      </w:r>
    </w:p>
    <w:p w14:paraId="53076DF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kern w:val="2"/>
          <w:sz w:val="24"/>
          <w:szCs w:val="24"/>
          <w:u w:val="none"/>
          <w:lang w:val="en-US" w:eastAsia="zh-CN" w:bidi="ar-SA"/>
        </w:rPr>
      </w:pPr>
      <w:r>
        <w:rPr>
          <w:rFonts w:hint="eastAsia" w:ascii="宋体" w:hAnsi="宋体" w:eastAsia="宋体" w:cs="宋体"/>
          <w:b w:val="0"/>
          <w:kern w:val="2"/>
          <w:sz w:val="24"/>
          <w:szCs w:val="24"/>
          <w:u w:val="none"/>
          <w:lang w:val="en-US" w:eastAsia="zh-CN" w:bidi="ar-SA"/>
        </w:rPr>
        <w:t>3.3、乙方及其工作人员在履行本合同义务过程中，造成其自身或甲方工作人员或任何第三人人身、财产遭受损伤的，均由乙方承担一切赔偿责任，与甲方无关；给甲方造成损失的，甲方有权利向乙方追偿。</w:t>
      </w:r>
    </w:p>
    <w:p w14:paraId="5CCA46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kern w:val="2"/>
          <w:sz w:val="24"/>
          <w:szCs w:val="24"/>
          <w:u w:val="none"/>
          <w:lang w:val="en-US" w:eastAsia="zh-CN" w:bidi="ar-SA"/>
        </w:rPr>
      </w:pPr>
      <w:r>
        <w:rPr>
          <w:rFonts w:hint="eastAsia" w:ascii="宋体" w:hAnsi="宋体" w:eastAsia="宋体" w:cs="宋体"/>
          <w:b w:val="0"/>
          <w:kern w:val="2"/>
          <w:sz w:val="24"/>
          <w:szCs w:val="24"/>
          <w:u w:val="none"/>
          <w:lang w:val="en-US" w:eastAsia="zh-CN" w:bidi="ar-SA"/>
        </w:rPr>
        <w:t>4、采购标的的专用工具、备品备件、安装调试及配套工程、质量保证、售后服务等要求</w:t>
      </w:r>
      <w:r>
        <w:rPr>
          <w:rFonts w:hint="eastAsia" w:ascii="宋体" w:hAnsi="宋体" w:cs="宋体"/>
          <w:b w:val="0"/>
          <w:kern w:val="2"/>
          <w:sz w:val="24"/>
          <w:szCs w:val="24"/>
          <w:u w:val="none"/>
          <w:lang w:val="en-US" w:eastAsia="zh-CN" w:bidi="ar-SA"/>
        </w:rPr>
        <w:t>：</w:t>
      </w:r>
    </w:p>
    <w:p w14:paraId="3C4B325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kern w:val="2"/>
          <w:sz w:val="24"/>
          <w:szCs w:val="24"/>
          <w:u w:val="none"/>
          <w:lang w:val="en-US" w:eastAsia="zh-CN" w:bidi="ar-SA"/>
        </w:rPr>
      </w:pPr>
      <w:r>
        <w:rPr>
          <w:rFonts w:hint="eastAsia" w:ascii="宋体" w:hAnsi="宋体" w:cs="宋体"/>
          <w:b w:val="0"/>
          <w:kern w:val="2"/>
          <w:sz w:val="24"/>
          <w:szCs w:val="24"/>
          <w:u w:val="none"/>
          <w:lang w:val="en-US" w:eastAsia="zh-CN" w:bidi="ar-SA"/>
        </w:rPr>
        <w:t>4.</w:t>
      </w:r>
      <w:r>
        <w:rPr>
          <w:rFonts w:hint="eastAsia" w:ascii="宋体" w:hAnsi="宋体" w:eastAsia="宋体" w:cs="宋体"/>
          <w:b w:val="0"/>
          <w:kern w:val="2"/>
          <w:sz w:val="24"/>
          <w:szCs w:val="24"/>
          <w:u w:val="none"/>
          <w:lang w:val="en-US" w:eastAsia="zh-CN" w:bidi="ar-SA"/>
        </w:rPr>
        <w:t>1、乙方同意维修中使用的货物自安装、验收合格并正常使用之日起免费保修，保质期为</w:t>
      </w:r>
      <w:r>
        <w:rPr>
          <w:rFonts w:hint="eastAsia" w:ascii="宋体" w:hAnsi="宋体" w:eastAsia="宋体" w:cs="宋体"/>
          <w:b/>
          <w:bCs/>
          <w:kern w:val="2"/>
          <w:sz w:val="24"/>
          <w:szCs w:val="24"/>
          <w:u w:val="none"/>
          <w:lang w:val="en-US" w:eastAsia="zh-CN" w:bidi="ar-SA"/>
        </w:rPr>
        <w:t>3年</w:t>
      </w:r>
      <w:r>
        <w:rPr>
          <w:rFonts w:hint="eastAsia" w:ascii="宋体" w:hAnsi="宋体" w:eastAsia="宋体" w:cs="宋体"/>
          <w:b w:val="0"/>
          <w:kern w:val="2"/>
          <w:sz w:val="24"/>
          <w:szCs w:val="24"/>
          <w:u w:val="none"/>
          <w:lang w:val="en-US" w:eastAsia="zh-CN" w:bidi="ar-SA"/>
        </w:rPr>
        <w:t xml:space="preserve">，在保修、保质期内出现的任何质量问题，由乙方派专业维修人员赶赴现场进行维修。     </w:t>
      </w:r>
    </w:p>
    <w:p w14:paraId="7D5BFC8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kern w:val="2"/>
          <w:sz w:val="24"/>
          <w:szCs w:val="24"/>
          <w:u w:val="none"/>
          <w:lang w:val="en-US" w:eastAsia="zh-CN" w:bidi="ar-SA"/>
        </w:rPr>
      </w:pPr>
      <w:r>
        <w:rPr>
          <w:rFonts w:hint="eastAsia" w:ascii="宋体" w:hAnsi="宋体" w:cs="宋体"/>
          <w:b w:val="0"/>
          <w:kern w:val="2"/>
          <w:sz w:val="24"/>
          <w:szCs w:val="24"/>
          <w:u w:val="none"/>
          <w:lang w:val="en-US" w:eastAsia="zh-CN" w:bidi="ar-SA"/>
        </w:rPr>
        <w:t>4.</w:t>
      </w:r>
      <w:r>
        <w:rPr>
          <w:rFonts w:hint="eastAsia" w:ascii="宋体" w:hAnsi="宋体" w:eastAsia="宋体" w:cs="宋体"/>
          <w:b w:val="0"/>
          <w:kern w:val="2"/>
          <w:sz w:val="24"/>
          <w:szCs w:val="24"/>
          <w:u w:val="none"/>
          <w:lang w:val="en-US" w:eastAsia="zh-CN" w:bidi="ar-SA"/>
        </w:rPr>
        <w:t>2、保修、保质期内，要确保该货物质量正常，不影响污水站正常运行。如经过一次维修后仍达不到此标准，乙方应负责调换部分或整个货物，保修、保质期作相应延长，并承担自货物出现故障之日起至货物再次正常运行使用之日期间给甲方造成的所有经济损失及由此带来的环保方面的处罚或其他相关罚单。若更换后产品还达不到此标准，乙方应无条件给甲方继续免费更换，并加倍承担给甲方造成的所有经济损失及处罚。</w:t>
      </w:r>
    </w:p>
    <w:p w14:paraId="0514965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kern w:val="2"/>
          <w:sz w:val="24"/>
          <w:szCs w:val="24"/>
          <w:u w:val="none"/>
          <w:lang w:val="en-US" w:eastAsia="zh-CN" w:bidi="ar-SA"/>
        </w:rPr>
      </w:pPr>
      <w:r>
        <w:rPr>
          <w:rFonts w:hint="eastAsia" w:ascii="宋体" w:hAnsi="宋体" w:cs="宋体"/>
          <w:b w:val="0"/>
          <w:kern w:val="2"/>
          <w:sz w:val="24"/>
          <w:szCs w:val="24"/>
          <w:u w:val="none"/>
          <w:lang w:val="en-US" w:eastAsia="zh-CN" w:bidi="ar-SA"/>
        </w:rPr>
        <w:t>4.</w:t>
      </w:r>
      <w:r>
        <w:rPr>
          <w:rFonts w:hint="eastAsia" w:ascii="宋体" w:hAnsi="宋体" w:eastAsia="宋体" w:cs="宋体"/>
          <w:b w:val="0"/>
          <w:kern w:val="2"/>
          <w:sz w:val="24"/>
          <w:szCs w:val="24"/>
          <w:u w:val="none"/>
          <w:lang w:val="en-US" w:eastAsia="zh-CN" w:bidi="ar-SA"/>
        </w:rPr>
        <w:t>3、如因产品本身的隐蔽瑕疵而出现的质量问题，乙方应全面负责维修调试或更新更换并承担全部费用。</w:t>
      </w:r>
    </w:p>
    <w:p w14:paraId="123FDA2B">
      <w:pPr>
        <w:spacing w:line="360" w:lineRule="auto"/>
        <w:ind w:firstLine="480" w:firstLineChars="200"/>
        <w:rPr>
          <w:rFonts w:hint="eastAsia" w:ascii="宋体" w:hAnsi="宋体" w:eastAsia="宋体" w:cs="宋体"/>
          <w:b w:val="0"/>
          <w:kern w:val="2"/>
          <w:sz w:val="24"/>
          <w:szCs w:val="24"/>
          <w:u w:val="none"/>
          <w:lang w:val="en-US" w:eastAsia="zh-CN" w:bidi="ar-SA"/>
        </w:rPr>
      </w:pPr>
      <w:r>
        <w:rPr>
          <w:rFonts w:hint="eastAsia" w:ascii="宋体" w:hAnsi="宋体" w:cs="宋体"/>
          <w:b w:val="0"/>
          <w:kern w:val="2"/>
          <w:sz w:val="24"/>
          <w:szCs w:val="24"/>
          <w:u w:val="none"/>
          <w:lang w:val="en-US" w:eastAsia="zh-CN" w:bidi="ar-SA"/>
        </w:rPr>
        <w:t>4.</w:t>
      </w:r>
      <w:r>
        <w:rPr>
          <w:rFonts w:hint="eastAsia" w:ascii="宋体" w:hAnsi="宋体" w:eastAsia="宋体" w:cs="宋体"/>
          <w:b w:val="0"/>
          <w:kern w:val="2"/>
          <w:sz w:val="24"/>
          <w:szCs w:val="24"/>
          <w:u w:val="none"/>
          <w:lang w:val="en-US" w:eastAsia="zh-CN" w:bidi="ar-SA"/>
        </w:rPr>
        <w:t>4、乙方必须严格依据合同约定及投标文件中的售后服务承诺履行售后服务义务。</w:t>
      </w:r>
    </w:p>
    <w:p w14:paraId="18DA9BE3">
      <w:pPr>
        <w:pStyle w:val="17"/>
        <w:spacing w:line="360" w:lineRule="auto"/>
        <w:ind w:firstLine="480" w:firstLineChars="200"/>
        <w:jc w:val="both"/>
        <w:rPr>
          <w:rFonts w:hint="eastAsia" w:ascii="宋体" w:hAnsi="宋体" w:eastAsia="宋体" w:cs="宋体"/>
          <w:b w:val="0"/>
          <w:spacing w:val="0"/>
          <w:w w:val="100"/>
          <w:kern w:val="2"/>
          <w:sz w:val="24"/>
          <w:szCs w:val="24"/>
          <w:u w:val="none"/>
          <w:lang w:val="en-US" w:eastAsia="zh-CN" w:bidi="ar-SA"/>
        </w:rPr>
      </w:pPr>
      <w:r>
        <w:rPr>
          <w:rFonts w:hint="eastAsia" w:ascii="宋体" w:hAnsi="宋体" w:cs="宋体"/>
          <w:b w:val="0"/>
          <w:spacing w:val="0"/>
          <w:w w:val="100"/>
          <w:kern w:val="2"/>
          <w:sz w:val="24"/>
          <w:szCs w:val="24"/>
          <w:u w:val="none"/>
          <w:lang w:val="en-US" w:eastAsia="zh-CN" w:bidi="ar-SA"/>
        </w:rPr>
        <w:t>4.</w:t>
      </w:r>
      <w:r>
        <w:rPr>
          <w:rFonts w:hint="eastAsia" w:ascii="宋体" w:hAnsi="宋体" w:eastAsia="宋体" w:cs="宋体"/>
          <w:b w:val="0"/>
          <w:spacing w:val="0"/>
          <w:w w:val="100"/>
          <w:kern w:val="2"/>
          <w:sz w:val="24"/>
          <w:szCs w:val="24"/>
          <w:u w:val="none"/>
          <w:lang w:val="en-US" w:eastAsia="zh-CN" w:bidi="ar-SA"/>
        </w:rPr>
        <w:t>5、乙方应负责安装现场所有日常生活垃圾及拆卸的支架、斜管及所有池内污泥等垃圾的清运与处理。清掏出的填料、应包装规范，按甲方要求放至指定地点由甲方统一处理。</w:t>
      </w:r>
    </w:p>
    <w:p w14:paraId="25CD9DE3">
      <w:pPr>
        <w:pStyle w:val="17"/>
        <w:spacing w:line="360" w:lineRule="auto"/>
        <w:ind w:firstLine="480" w:firstLineChars="200"/>
        <w:jc w:val="both"/>
        <w:rPr>
          <w:rFonts w:hint="eastAsia" w:ascii="宋体" w:hAnsi="宋体" w:eastAsia="宋体" w:cs="宋体"/>
          <w:b w:val="0"/>
          <w:spacing w:val="0"/>
          <w:w w:val="100"/>
          <w:kern w:val="2"/>
          <w:sz w:val="24"/>
          <w:szCs w:val="24"/>
          <w:u w:val="none"/>
          <w:lang w:val="en-US" w:eastAsia="zh-CN" w:bidi="ar-SA"/>
        </w:rPr>
      </w:pPr>
      <w:r>
        <w:rPr>
          <w:rFonts w:hint="eastAsia" w:ascii="宋体" w:hAnsi="宋体" w:cs="宋体"/>
          <w:b w:val="0"/>
          <w:spacing w:val="0"/>
          <w:w w:val="100"/>
          <w:kern w:val="2"/>
          <w:sz w:val="24"/>
          <w:szCs w:val="24"/>
          <w:u w:val="none"/>
          <w:lang w:val="en-US" w:eastAsia="zh-CN" w:bidi="ar-SA"/>
        </w:rPr>
        <w:t>4.</w:t>
      </w:r>
      <w:r>
        <w:rPr>
          <w:rFonts w:hint="eastAsia" w:ascii="宋体" w:hAnsi="宋体" w:eastAsia="宋体" w:cs="宋体"/>
          <w:b w:val="0"/>
          <w:spacing w:val="0"/>
          <w:w w:val="100"/>
          <w:kern w:val="2"/>
          <w:sz w:val="24"/>
          <w:szCs w:val="24"/>
          <w:u w:val="none"/>
          <w:lang w:val="en-US" w:eastAsia="zh-CN" w:bidi="ar-SA"/>
        </w:rPr>
        <w:t>6、本项目涉及有限空间作业，乙方所派人员必须严格按照有限空间操作规程工作，若发生任何意外事故所造成的人身安全等，由乙方全权负责，与甲方无关。</w:t>
      </w:r>
    </w:p>
    <w:p w14:paraId="0E9E78F0">
      <w:pPr>
        <w:pStyle w:val="17"/>
        <w:spacing w:line="360" w:lineRule="auto"/>
        <w:ind w:firstLine="480" w:firstLineChars="200"/>
        <w:jc w:val="both"/>
        <w:rPr>
          <w:rFonts w:hint="eastAsia" w:ascii="宋体" w:hAnsi="宋体" w:eastAsia="宋体" w:cs="宋体"/>
          <w:b w:val="0"/>
          <w:spacing w:val="0"/>
          <w:w w:val="100"/>
          <w:kern w:val="2"/>
          <w:sz w:val="24"/>
          <w:szCs w:val="24"/>
          <w:u w:val="none"/>
          <w:lang w:val="en-US" w:eastAsia="zh-CN" w:bidi="ar-SA"/>
        </w:rPr>
      </w:pPr>
      <w:r>
        <w:rPr>
          <w:rFonts w:hint="eastAsia" w:ascii="宋体" w:hAnsi="宋体" w:cs="宋体"/>
          <w:b w:val="0"/>
          <w:spacing w:val="0"/>
          <w:w w:val="100"/>
          <w:kern w:val="2"/>
          <w:sz w:val="24"/>
          <w:szCs w:val="24"/>
          <w:u w:val="none"/>
          <w:lang w:val="en-US" w:eastAsia="zh-CN" w:bidi="ar-SA"/>
        </w:rPr>
        <w:t>4.</w:t>
      </w:r>
      <w:r>
        <w:rPr>
          <w:rFonts w:hint="eastAsia" w:ascii="宋体" w:hAnsi="宋体" w:eastAsia="宋体" w:cs="宋体"/>
          <w:b w:val="0"/>
          <w:spacing w:val="0"/>
          <w:w w:val="100"/>
          <w:kern w:val="2"/>
          <w:sz w:val="24"/>
          <w:szCs w:val="24"/>
          <w:u w:val="none"/>
          <w:lang w:val="en-US" w:eastAsia="zh-CN" w:bidi="ar-SA"/>
        </w:rPr>
        <w:t>7、本项目在正式开始前，乙方应向甲方出具该项目填料、支架斜管等更换期间我院污水处理流程及突发事件应急预案盖章版并协助甲方对我院污水情况向当地环保局进行备案。</w:t>
      </w:r>
    </w:p>
    <w:p w14:paraId="1FC78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kern w:val="2"/>
          <w:sz w:val="24"/>
          <w:szCs w:val="24"/>
          <w:u w:val="none"/>
          <w:lang w:val="en-US" w:eastAsia="zh-CN" w:bidi="ar-SA"/>
        </w:rPr>
      </w:pPr>
      <w:r>
        <w:rPr>
          <w:rFonts w:hint="eastAsia" w:ascii="宋体" w:hAnsi="宋体" w:cs="宋体"/>
          <w:b w:val="0"/>
          <w:kern w:val="2"/>
          <w:sz w:val="24"/>
          <w:szCs w:val="24"/>
          <w:u w:val="none"/>
          <w:lang w:val="en-US" w:eastAsia="zh-CN" w:bidi="ar-SA"/>
        </w:rPr>
        <w:t>4.</w:t>
      </w:r>
      <w:r>
        <w:rPr>
          <w:rFonts w:hint="eastAsia" w:ascii="宋体" w:hAnsi="宋体" w:eastAsia="宋体" w:cs="宋体"/>
          <w:b w:val="0"/>
          <w:kern w:val="2"/>
          <w:sz w:val="24"/>
          <w:szCs w:val="24"/>
          <w:u w:val="none"/>
          <w:lang w:val="en-US" w:eastAsia="zh-CN" w:bidi="ar-SA"/>
        </w:rPr>
        <w:t>8、乙方应保证在本项目进行期间，我院污水处理严格按照当地环保要求，达到医疗机构水污染物排放标准GB18466-2005。若发现有任何不达标行为，由此带给甲方的所有处罚，乙方应负全部责任。</w:t>
      </w:r>
    </w:p>
    <w:p w14:paraId="14D451E0">
      <w:pPr>
        <w:pStyle w:val="17"/>
        <w:spacing w:line="360" w:lineRule="auto"/>
        <w:ind w:firstLine="480" w:firstLineChars="200"/>
        <w:jc w:val="both"/>
        <w:rPr>
          <w:rFonts w:hint="default" w:ascii="宋体" w:hAnsi="宋体" w:eastAsia="宋体" w:cs="宋体"/>
          <w:b w:val="0"/>
          <w:spacing w:val="0"/>
          <w:w w:val="100"/>
          <w:kern w:val="2"/>
          <w:sz w:val="24"/>
          <w:szCs w:val="24"/>
          <w:u w:val="none"/>
          <w:lang w:val="en-US" w:eastAsia="zh-CN" w:bidi="ar-SA"/>
        </w:rPr>
      </w:pPr>
      <w:r>
        <w:rPr>
          <w:rFonts w:hint="eastAsia" w:ascii="宋体" w:hAnsi="宋体" w:cs="宋体"/>
          <w:b w:val="0"/>
          <w:spacing w:val="0"/>
          <w:w w:val="100"/>
          <w:kern w:val="2"/>
          <w:sz w:val="24"/>
          <w:szCs w:val="24"/>
          <w:u w:val="none"/>
          <w:lang w:val="en-US" w:eastAsia="zh-CN" w:bidi="ar-SA"/>
        </w:rPr>
        <w:t>4.</w:t>
      </w:r>
      <w:r>
        <w:rPr>
          <w:rFonts w:hint="eastAsia" w:ascii="宋体" w:hAnsi="宋体" w:eastAsia="宋体" w:cs="宋体"/>
          <w:b w:val="0"/>
          <w:spacing w:val="0"/>
          <w:w w:val="100"/>
          <w:kern w:val="2"/>
          <w:sz w:val="24"/>
          <w:szCs w:val="24"/>
          <w:u w:val="none"/>
          <w:lang w:val="en-US" w:eastAsia="zh-CN" w:bidi="ar-SA"/>
        </w:rPr>
        <w:t>9、本项目进行期间，乙方应保障我院污水处理的正常运行，不得影响医院正常诊疗及就诊环境，若污水处理站有任何突发情况，应及时向甲方进行报备并采取安全有效措施进行。</w:t>
      </w:r>
    </w:p>
    <w:p w14:paraId="63005B33">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b w:val="0"/>
          <w:kern w:val="2"/>
          <w:sz w:val="24"/>
          <w:szCs w:val="24"/>
          <w:u w:val="none"/>
          <w:lang w:val="en-US" w:eastAsia="zh-CN" w:bidi="ar-SA"/>
        </w:rPr>
      </w:pPr>
      <w:r>
        <w:rPr>
          <w:rFonts w:hint="eastAsia" w:ascii="宋体" w:hAnsi="宋体" w:eastAsia="宋体" w:cs="宋体"/>
          <w:b w:val="0"/>
          <w:kern w:val="2"/>
          <w:sz w:val="24"/>
          <w:szCs w:val="24"/>
          <w:u w:val="none"/>
          <w:lang w:val="en-US" w:eastAsia="zh-CN" w:bidi="ar-SA"/>
        </w:rPr>
        <w:t>5、采购标的的验收标准</w:t>
      </w:r>
      <w:r>
        <w:rPr>
          <w:rFonts w:hint="eastAsia" w:ascii="宋体" w:hAnsi="宋体" w:cs="宋体"/>
          <w:b w:val="0"/>
          <w:kern w:val="2"/>
          <w:sz w:val="24"/>
          <w:szCs w:val="24"/>
          <w:u w:val="none"/>
          <w:lang w:val="en-US" w:eastAsia="zh-CN" w:bidi="ar-SA"/>
        </w:rPr>
        <w:t>：</w:t>
      </w:r>
    </w:p>
    <w:p w14:paraId="6587178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2"/>
          <w:sz w:val="24"/>
          <w:szCs w:val="24"/>
          <w:lang w:val="en-GB" w:eastAsia="zh-CN" w:bidi="ar-SA"/>
        </w:rPr>
      </w:pPr>
      <w:r>
        <w:rPr>
          <w:rFonts w:hint="eastAsia" w:ascii="宋体" w:hAnsi="宋体" w:eastAsia="宋体" w:cs="宋体"/>
          <w:b w:val="0"/>
          <w:kern w:val="2"/>
          <w:sz w:val="24"/>
          <w:szCs w:val="24"/>
          <w:u w:val="none"/>
          <w:lang w:val="en-US" w:eastAsia="zh-CN" w:bidi="ar-SA"/>
        </w:rPr>
        <w:t>本项目进行时，为不影响招标人污水处理站正常进行，因此需交替进行更换及验收。每阶段安装调试完成后，投标人应书面或口头通知招标人进行验收。双方按实际安装进行现场验收，验收完成确认无误后，共同填写验收单，方可进行下一项工作。整体安装调试完成后进行试运行，投标人对排放污水进行检测，并出具检测报告，确保污水站污水排放指标应达到《医疗机构水污染物排放标准GB18466-2005》，如未达标，进行调试直至达标排放后。</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5CAF3AA5">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29AA0464">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供应商需具备环保工程专业三级及以上资质或供应商具备环境工程（水污染防治工程）专业乙级（含乙级）以上资质</w:t>
      </w:r>
      <w:r>
        <w:rPr>
          <w:rFonts w:hint="eastAsia" w:ascii="宋体" w:hAnsi="宋体" w:cs="宋体"/>
          <w:b w:val="0"/>
          <w:bCs/>
          <w:sz w:val="24"/>
          <w:szCs w:val="24"/>
          <w:highlight w:val="none"/>
          <w:u w:val="none"/>
          <w:lang w:val="en-US" w:eastAsia="zh-CN"/>
        </w:rPr>
        <w:t>；</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4、</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3"/>
          <w:rFonts w:hint="eastAsia" w:ascii="宋体" w:hAnsi="宋体" w:eastAsia="宋体" w:cs="宋体"/>
          <w:kern w:val="0"/>
          <w:sz w:val="24"/>
          <w:szCs w:val="24"/>
          <w:highlight w:val="none"/>
        </w:rPr>
        <w:t xml:space="preserve"> </w:t>
      </w:r>
    </w:p>
    <w:p w14:paraId="25097154">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1"/>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七</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，字迹应清晰易于辨认，并应在响应文件封面的右上角清楚地注明“正本”或“副本”。</w:t>
      </w:r>
      <w:r>
        <w:rPr>
          <w:rStyle w:val="33"/>
          <w:rFonts w:hint="eastAsia" w:ascii="宋体" w:hAnsi="宋体" w:eastAsia="宋体" w:cs="宋体"/>
          <w:b/>
          <w:bCs w:val="0"/>
          <w:sz w:val="24"/>
          <w:szCs w:val="24"/>
          <w:highlight w:val="none"/>
          <w:lang w:val="en-US" w:eastAsia="zh-CN"/>
        </w:rPr>
        <w:t>响应文件正</w:t>
      </w:r>
      <w:r>
        <w:rPr>
          <w:rStyle w:val="33"/>
          <w:rFonts w:hint="eastAsia" w:ascii="宋体" w:hAnsi="宋体" w:cs="宋体"/>
          <w:b/>
          <w:bCs w:val="0"/>
          <w:sz w:val="24"/>
          <w:szCs w:val="24"/>
          <w:highlight w:val="none"/>
          <w:lang w:val="en-US" w:eastAsia="zh-CN"/>
        </w:rPr>
        <w:t>副</w:t>
      </w:r>
      <w:r>
        <w:rPr>
          <w:rStyle w:val="33"/>
          <w:rFonts w:hint="eastAsia" w:ascii="宋体" w:hAnsi="宋体" w:eastAsia="宋体" w:cs="宋体"/>
          <w:b/>
          <w:bCs w:val="0"/>
          <w:sz w:val="24"/>
          <w:szCs w:val="24"/>
          <w:highlight w:val="none"/>
          <w:lang w:val="en-US" w:eastAsia="zh-CN"/>
        </w:rPr>
        <w:t>本</w:t>
      </w:r>
      <w:r>
        <w:rPr>
          <w:rStyle w:val="33"/>
          <w:rFonts w:hint="eastAsia" w:ascii="宋体" w:hAnsi="宋体" w:cs="宋体"/>
          <w:b/>
          <w:bCs w:val="0"/>
          <w:sz w:val="24"/>
          <w:szCs w:val="24"/>
          <w:highlight w:val="none"/>
          <w:lang w:val="en-US" w:eastAsia="zh-CN"/>
        </w:rPr>
        <w:t>均</w:t>
      </w:r>
      <w:r>
        <w:rPr>
          <w:rStyle w:val="33"/>
          <w:rFonts w:hint="eastAsia" w:ascii="宋体" w:hAnsi="宋体" w:eastAsia="宋体" w:cs="宋体"/>
          <w:b/>
          <w:bCs w:val="0"/>
          <w:sz w:val="24"/>
          <w:szCs w:val="24"/>
          <w:highlight w:val="none"/>
          <w:lang w:val="en-US" w:eastAsia="zh-CN"/>
        </w:rPr>
        <w:t>需逐页加盖鲜章</w:t>
      </w:r>
      <w:r>
        <w:rPr>
          <w:rStyle w:val="33"/>
          <w:rFonts w:hint="eastAsia" w:ascii="宋体" w:hAnsi="宋体" w:cs="宋体"/>
          <w:b/>
          <w:bCs w:val="0"/>
          <w:sz w:val="24"/>
          <w:szCs w:val="24"/>
          <w:highlight w:val="none"/>
          <w:lang w:val="en-US" w:eastAsia="zh-CN"/>
        </w:rPr>
        <w:t>，</w:t>
      </w:r>
      <w:r>
        <w:rPr>
          <w:rStyle w:val="33"/>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3"/>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b/>
          <w:bCs/>
          <w:kern w:val="0"/>
          <w:sz w:val="24"/>
          <w:szCs w:val="24"/>
          <w:highlight w:val="none"/>
          <w:lang w:val="en-US" w:eastAsia="zh-CN"/>
        </w:rPr>
        <w:t>3</w:t>
      </w:r>
      <w:r>
        <w:rPr>
          <w:rStyle w:val="33"/>
          <w:rFonts w:hint="eastAsia" w:ascii="宋体" w:hAnsi="宋体" w:eastAsia="宋体" w:cs="宋体"/>
          <w:b/>
          <w:bCs/>
          <w:kern w:val="0"/>
          <w:sz w:val="24"/>
          <w:szCs w:val="24"/>
          <w:highlight w:val="none"/>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rPr>
        <w:t>的正本1份</w:t>
      </w:r>
      <w:r>
        <w:rPr>
          <w:rStyle w:val="33"/>
          <w:rFonts w:hint="eastAsia" w:ascii="宋体" w:hAnsi="宋体" w:eastAsia="宋体" w:cs="宋体"/>
          <w:b/>
          <w:bCs/>
          <w:kern w:val="0"/>
          <w:sz w:val="24"/>
          <w:szCs w:val="24"/>
          <w:highlight w:val="none"/>
          <w:lang w:val="en-US" w:eastAsia="zh-CN"/>
        </w:rPr>
        <w:t>及电子版</w:t>
      </w:r>
      <w:r>
        <w:rPr>
          <w:rStyle w:val="33"/>
          <w:rFonts w:hint="eastAsia" w:ascii="宋体" w:hAnsi="宋体" w:cs="宋体"/>
          <w:b/>
          <w:bCs/>
          <w:kern w:val="0"/>
          <w:sz w:val="24"/>
          <w:szCs w:val="24"/>
          <w:highlight w:val="none"/>
          <w:lang w:val="en-US" w:eastAsia="zh-CN"/>
        </w:rPr>
        <w:t>响应文件</w:t>
      </w:r>
      <w:r>
        <w:rPr>
          <w:rStyle w:val="33"/>
          <w:rFonts w:hint="eastAsia" w:ascii="宋体" w:hAnsi="宋体" w:eastAsia="宋体" w:cs="宋体"/>
          <w:b/>
          <w:bCs/>
          <w:kern w:val="0"/>
          <w:sz w:val="24"/>
          <w:szCs w:val="24"/>
          <w:highlight w:val="none"/>
          <w:lang w:val="en-US" w:eastAsia="zh-CN"/>
        </w:rPr>
        <w:t>（U盘）</w:t>
      </w:r>
      <w:r>
        <w:rPr>
          <w:rStyle w:val="33"/>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3"/>
          <w:rFonts w:hint="eastAsia" w:ascii="宋体" w:hAnsi="宋体" w:eastAsia="宋体" w:cs="宋体"/>
          <w:b/>
          <w:bCs/>
          <w:kern w:val="0"/>
          <w:sz w:val="24"/>
          <w:szCs w:val="24"/>
          <w:highlight w:val="none"/>
          <w:lang w:eastAsia="zh-CN"/>
        </w:rPr>
        <w:t>密封骑缝</w:t>
      </w:r>
      <w:r>
        <w:rPr>
          <w:rStyle w:val="33"/>
          <w:rFonts w:hint="eastAsia" w:ascii="宋体" w:hAnsi="宋体" w:eastAsia="宋体" w:cs="宋体"/>
          <w:b/>
          <w:bCs/>
          <w:kern w:val="0"/>
          <w:sz w:val="24"/>
          <w:szCs w:val="24"/>
          <w:highlight w:val="none"/>
        </w:rPr>
        <w:t>处应加盖</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rPr>
        <w:t>单位公章，</w:t>
      </w:r>
      <w:r>
        <w:rPr>
          <w:rStyle w:val="33"/>
          <w:rFonts w:hint="eastAsia" w:ascii="宋体" w:hAnsi="宋体" w:eastAsia="宋体" w:cs="宋体"/>
          <w:b/>
          <w:bCs/>
          <w:kern w:val="0"/>
          <w:sz w:val="24"/>
          <w:szCs w:val="24"/>
          <w:highlight w:val="none"/>
          <w:lang w:eastAsia="zh-CN"/>
        </w:rPr>
        <w:t>密封袋正面</w:t>
      </w:r>
      <w:r>
        <w:rPr>
          <w:rStyle w:val="33"/>
          <w:rFonts w:hint="eastAsia" w:ascii="宋体" w:hAnsi="宋体" w:eastAsia="宋体" w:cs="宋体"/>
          <w:b/>
          <w:bCs/>
          <w:kern w:val="0"/>
          <w:sz w:val="24"/>
          <w:szCs w:val="24"/>
          <w:highlight w:val="none"/>
        </w:rPr>
        <w:t>标明投标名称</w:t>
      </w:r>
      <w:r>
        <w:rPr>
          <w:rStyle w:val="33"/>
          <w:rFonts w:hint="eastAsia" w:ascii="宋体" w:hAnsi="宋体" w:eastAsia="宋体" w:cs="宋体"/>
          <w:b/>
          <w:bCs/>
          <w:kern w:val="0"/>
          <w:sz w:val="24"/>
          <w:szCs w:val="24"/>
          <w:highlight w:val="none"/>
          <w:lang w:eastAsia="zh-CN"/>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lang w:eastAsia="zh-CN"/>
        </w:rPr>
        <w:t>启封时间、</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lang w:eastAsia="zh-CN"/>
        </w:rPr>
        <w:t>名称（加盖鲜章）</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并</w:t>
      </w:r>
      <w:r>
        <w:rPr>
          <w:rStyle w:val="33"/>
          <w:rFonts w:hint="eastAsia" w:ascii="宋体" w:hAnsi="宋体" w:eastAsia="宋体" w:cs="宋体"/>
          <w:b/>
          <w:bCs/>
          <w:kern w:val="0"/>
          <w:sz w:val="24"/>
          <w:szCs w:val="24"/>
          <w:highlight w:val="none"/>
        </w:rPr>
        <w:t>按投标日程规定日期送至指定地点。</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4</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val="en-US" w:eastAsia="zh-CN"/>
        </w:rPr>
        <w:t>供应商</w:t>
      </w:r>
      <w:r>
        <w:rPr>
          <w:rStyle w:val="33"/>
          <w:rFonts w:hint="eastAsia" w:ascii="宋体" w:hAnsi="宋体" w:eastAsia="宋体" w:cs="宋体"/>
          <w:kern w:val="0"/>
          <w:sz w:val="24"/>
          <w:szCs w:val="24"/>
          <w:highlight w:val="none"/>
        </w:rPr>
        <w:t>在</w:t>
      </w:r>
      <w:r>
        <w:rPr>
          <w:rStyle w:val="33"/>
          <w:rFonts w:hint="eastAsia" w:ascii="宋体" w:hAnsi="宋体" w:cs="宋体"/>
          <w:kern w:val="0"/>
          <w:sz w:val="24"/>
          <w:szCs w:val="24"/>
          <w:highlight w:val="none"/>
          <w:lang w:val="en-US" w:eastAsia="zh-CN"/>
        </w:rPr>
        <w:t>响应文件</w:t>
      </w:r>
      <w:r>
        <w:rPr>
          <w:rStyle w:val="33"/>
          <w:rFonts w:hint="eastAsia" w:ascii="宋体" w:hAnsi="宋体" w:eastAsia="宋体" w:cs="宋体"/>
          <w:kern w:val="0"/>
          <w:sz w:val="24"/>
          <w:szCs w:val="24"/>
          <w:highlight w:val="none"/>
        </w:rPr>
        <w:t>截止</w:t>
      </w:r>
      <w:r>
        <w:rPr>
          <w:rStyle w:val="33"/>
          <w:rFonts w:hint="eastAsia" w:ascii="宋体" w:hAnsi="宋体" w:eastAsia="宋体" w:cs="宋体"/>
          <w:kern w:val="0"/>
          <w:sz w:val="24"/>
          <w:szCs w:val="24"/>
          <w:highlight w:val="none"/>
          <w:lang w:val="en-US" w:eastAsia="zh-CN"/>
        </w:rPr>
        <w:t>递交</w:t>
      </w:r>
      <w:r>
        <w:rPr>
          <w:rStyle w:val="33"/>
          <w:rFonts w:hint="eastAsia" w:ascii="宋体" w:hAnsi="宋体" w:eastAsia="宋体" w:cs="宋体"/>
          <w:kern w:val="0"/>
          <w:sz w:val="24"/>
          <w:szCs w:val="24"/>
          <w:highlight w:val="none"/>
        </w:rPr>
        <w:t xml:space="preserve">时间之前可书面修改或撤销，迟交或未按规定密封的不予接受。 </w:t>
      </w:r>
    </w:p>
    <w:p w14:paraId="369F0612">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5</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有效期为自</w:t>
      </w:r>
      <w:r>
        <w:rPr>
          <w:rStyle w:val="33"/>
          <w:rFonts w:hint="eastAsia" w:ascii="宋体" w:hAnsi="宋体" w:eastAsia="宋体" w:cs="宋体"/>
          <w:kern w:val="0"/>
          <w:sz w:val="24"/>
          <w:szCs w:val="24"/>
          <w:highlight w:val="none"/>
          <w:lang w:val="en-US" w:eastAsia="zh-CN"/>
        </w:rPr>
        <w:t>开标</w:t>
      </w:r>
      <w:r>
        <w:rPr>
          <w:rStyle w:val="33"/>
          <w:rFonts w:hint="eastAsia" w:ascii="宋体" w:hAnsi="宋体" w:eastAsia="宋体" w:cs="宋体"/>
          <w:kern w:val="0"/>
          <w:sz w:val="24"/>
          <w:szCs w:val="24"/>
          <w:highlight w:val="none"/>
        </w:rPr>
        <w:t>之日起算九十（90）个日历日，</w:t>
      </w:r>
      <w:r>
        <w:rPr>
          <w:rStyle w:val="33"/>
          <w:rFonts w:hint="eastAsia" w:ascii="宋体" w:hAnsi="宋体" w:eastAsia="宋体" w:cs="宋体"/>
          <w:kern w:val="0"/>
          <w:sz w:val="24"/>
          <w:szCs w:val="24"/>
          <w:highlight w:val="none"/>
          <w:lang w:eastAsia="zh-CN"/>
        </w:rPr>
        <w:t>中标候选人</w:t>
      </w:r>
      <w:r>
        <w:rPr>
          <w:rStyle w:val="33"/>
          <w:rFonts w:hint="eastAsia" w:ascii="宋体" w:hAnsi="宋体" w:eastAsia="宋体" w:cs="宋体"/>
          <w:kern w:val="0"/>
          <w:sz w:val="24"/>
          <w:szCs w:val="24"/>
          <w:highlight w:val="none"/>
        </w:rPr>
        <w:t>的</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有效期延长至合同执行完毕。</w:t>
      </w:r>
    </w:p>
    <w:p w14:paraId="02633AB9">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b/>
          <w:bCs/>
        </w:rPr>
      </w:pPr>
      <w:r>
        <w:rPr>
          <w:rStyle w:val="33"/>
          <w:rFonts w:hint="eastAsia" w:ascii="宋体" w:hAnsi="宋体" w:cs="宋体"/>
          <w:b/>
          <w:bCs/>
          <w:kern w:val="0"/>
          <w:sz w:val="24"/>
          <w:szCs w:val="24"/>
          <w:highlight w:val="none"/>
          <w:lang w:val="en-US" w:eastAsia="zh-CN"/>
        </w:rPr>
        <w:t>6、未按照上述要求编制响应文件的，按废标处理。</w:t>
      </w:r>
    </w:p>
    <w:p w14:paraId="77DB475D">
      <w:pPr>
        <w:pStyle w:val="21"/>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2"/>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545"/>
        <w:gridCol w:w="6327"/>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14:paraId="4DA0224A">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评标因素</w:t>
            </w:r>
          </w:p>
        </w:tc>
        <w:tc>
          <w:tcPr>
            <w:tcW w:w="1545" w:type="dxa"/>
            <w:tcBorders>
              <w:top w:val="single" w:color="auto" w:sz="4" w:space="0"/>
              <w:left w:val="single" w:color="auto" w:sz="4" w:space="0"/>
              <w:right w:val="single" w:color="auto" w:sz="4" w:space="0"/>
            </w:tcBorders>
            <w:noWrap w:val="0"/>
            <w:vAlign w:val="center"/>
          </w:tcPr>
          <w:p w14:paraId="694FE5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F404BEB">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14:paraId="3926C923">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09528DF6">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08082F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lang w:val="en-US" w:eastAsia="zh-CN"/>
              </w:rPr>
              <w:t>分</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266E841F">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满足招标文件要求且投标价格最低的投标报价为评标基准价，其价格分为满分。其他投标人的价格分统一按照下列公式计算：投标报价得分=（评标基准价/投标报价）×</w:t>
            </w:r>
            <w:r>
              <w:rPr>
                <w:rFonts w:hint="eastAsia" w:ascii="宋体" w:hAnsi="宋体" w:cs="宋体"/>
                <w:color w:val="000000"/>
                <w:sz w:val="24"/>
                <w:szCs w:val="24"/>
                <w:highlight w:val="none"/>
                <w:lang w:val="en-US" w:eastAsia="zh-CN"/>
              </w:rPr>
              <w:t>20</w:t>
            </w:r>
          </w:p>
        </w:tc>
      </w:tr>
      <w:tr w14:paraId="684F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559" w:type="dxa"/>
            <w:vMerge w:val="restart"/>
            <w:tcBorders>
              <w:left w:val="single" w:color="auto" w:sz="4" w:space="0"/>
              <w:right w:val="single" w:color="auto" w:sz="4" w:space="0"/>
            </w:tcBorders>
            <w:noWrap w:val="0"/>
            <w:vAlign w:val="center"/>
          </w:tcPr>
          <w:p w14:paraId="508A1E74">
            <w:pPr>
              <w:shd w:val="clear" w:color="auto" w:fill="auto"/>
              <w:autoSpaceDE w:val="0"/>
              <w:autoSpaceDN w:val="0"/>
              <w:adjustRightInd w:val="0"/>
              <w:snapToGri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技术部分</w:t>
            </w:r>
          </w:p>
          <w:p w14:paraId="0EFD5080">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（60分）</w:t>
            </w:r>
          </w:p>
        </w:tc>
        <w:tc>
          <w:tcPr>
            <w:tcW w:w="1545" w:type="dxa"/>
            <w:tcBorders>
              <w:left w:val="single" w:color="auto" w:sz="4" w:space="0"/>
              <w:bottom w:val="single" w:color="auto" w:sz="4" w:space="0"/>
              <w:right w:val="single" w:color="auto" w:sz="4" w:space="0"/>
            </w:tcBorders>
            <w:noWrap w:val="0"/>
            <w:vAlign w:val="center"/>
          </w:tcPr>
          <w:p w14:paraId="0F51CFF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napToGrid w:val="0"/>
                <w:color w:val="000000"/>
                <w:sz w:val="24"/>
                <w:szCs w:val="24"/>
                <w:highlight w:val="none"/>
                <w:lang w:val="en-US" w:eastAsia="en-US" w:bidi="ar-SA"/>
              </w:rPr>
              <w:t>维修方案的完整性与合理性（</w:t>
            </w:r>
            <w:r>
              <w:rPr>
                <w:rFonts w:hint="eastAsia" w:ascii="宋体" w:hAnsi="宋体" w:cs="宋体"/>
                <w:snapToGrid w:val="0"/>
                <w:color w:val="000000"/>
                <w:sz w:val="24"/>
                <w:szCs w:val="24"/>
                <w:highlight w:val="none"/>
                <w:lang w:val="en-US" w:eastAsia="zh-CN" w:bidi="ar-SA"/>
              </w:rPr>
              <w:t>20</w:t>
            </w:r>
            <w:r>
              <w:rPr>
                <w:rFonts w:hint="eastAsia" w:ascii="宋体" w:hAnsi="宋体" w:eastAsia="宋体" w:cs="宋体"/>
                <w:snapToGrid w:val="0"/>
                <w:color w:val="000000"/>
                <w:sz w:val="24"/>
                <w:szCs w:val="24"/>
                <w:highlight w:val="none"/>
                <w:lang w:val="en-US" w:eastAsia="en-US" w:bidi="ar-SA"/>
              </w:rPr>
              <w:t>分）</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C5E3997">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方案全面涵盖污水处理站各类设备设施的维修内容，详细阐述维修流程、方法，合理安排维修进度计划。</w:t>
            </w:r>
          </w:p>
          <w:p w14:paraId="69C47C26">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内容完整、流程清晰、方法科学合理，得</w:t>
            </w:r>
            <w:r>
              <w:rPr>
                <w:rFonts w:hint="eastAsia" w:ascii="宋体" w:hAnsi="宋体" w:cs="宋体"/>
                <w:snapToGrid w:val="0"/>
                <w:color w:val="000000"/>
                <w:sz w:val="24"/>
                <w:szCs w:val="24"/>
                <w:highlight w:val="none"/>
                <w:lang w:val="en-US" w:eastAsia="zh-CN" w:bidi="ar-SA"/>
              </w:rPr>
              <w:t xml:space="preserve">16 </w:t>
            </w:r>
            <w:r>
              <w:rPr>
                <w:rFonts w:hint="eastAsia" w:ascii="宋体" w:hAnsi="宋体" w:eastAsia="宋体" w:cs="宋体"/>
                <w:snapToGrid w:val="0"/>
                <w:color w:val="000000"/>
                <w:sz w:val="24"/>
                <w:szCs w:val="24"/>
                <w:highlight w:val="none"/>
                <w:lang w:val="en-US" w:eastAsia="en-US" w:bidi="ar-SA"/>
              </w:rPr>
              <w:t xml:space="preserve">- </w:t>
            </w:r>
            <w:r>
              <w:rPr>
                <w:rFonts w:hint="eastAsia" w:ascii="宋体" w:hAnsi="宋体" w:cs="宋体"/>
                <w:snapToGrid w:val="0"/>
                <w:color w:val="000000"/>
                <w:sz w:val="24"/>
                <w:szCs w:val="24"/>
                <w:highlight w:val="none"/>
                <w:lang w:val="en-US" w:eastAsia="zh-CN" w:bidi="ar-SA"/>
              </w:rPr>
              <w:t>20</w:t>
            </w:r>
            <w:r>
              <w:rPr>
                <w:rFonts w:hint="eastAsia" w:ascii="宋体" w:hAnsi="宋体" w:eastAsia="宋体" w:cs="宋体"/>
                <w:snapToGrid w:val="0"/>
                <w:color w:val="000000"/>
                <w:sz w:val="24"/>
                <w:szCs w:val="24"/>
                <w:highlight w:val="none"/>
                <w:lang w:val="en-US" w:eastAsia="en-US" w:bidi="ar-SA"/>
              </w:rPr>
              <w:t>分；</w:t>
            </w:r>
          </w:p>
          <w:p w14:paraId="3EBFB8D7">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方案较完整，流程、方法有一定合理性，得</w:t>
            </w:r>
            <w:r>
              <w:rPr>
                <w:rFonts w:hint="eastAsia" w:ascii="宋体" w:hAnsi="宋体" w:cs="宋体"/>
                <w:snapToGrid w:val="0"/>
                <w:color w:val="000000"/>
                <w:sz w:val="24"/>
                <w:szCs w:val="24"/>
                <w:highlight w:val="none"/>
                <w:lang w:val="en-US" w:eastAsia="zh-CN" w:bidi="ar-SA"/>
              </w:rPr>
              <w:t>6</w:t>
            </w:r>
            <w:r>
              <w:rPr>
                <w:rFonts w:hint="eastAsia" w:ascii="宋体" w:hAnsi="宋体" w:eastAsia="宋体" w:cs="宋体"/>
                <w:snapToGrid w:val="0"/>
                <w:color w:val="000000"/>
                <w:sz w:val="24"/>
                <w:szCs w:val="24"/>
                <w:highlight w:val="none"/>
                <w:lang w:val="en-US" w:eastAsia="en-US" w:bidi="ar-SA"/>
              </w:rPr>
              <w:t xml:space="preserve"> - </w:t>
            </w:r>
            <w:r>
              <w:rPr>
                <w:rFonts w:hint="eastAsia" w:ascii="宋体" w:hAnsi="宋体" w:cs="宋体"/>
                <w:snapToGrid w:val="0"/>
                <w:color w:val="000000"/>
                <w:sz w:val="24"/>
                <w:szCs w:val="24"/>
                <w:highlight w:val="none"/>
                <w:lang w:val="en-US" w:eastAsia="zh-CN" w:bidi="ar-SA"/>
              </w:rPr>
              <w:t>15</w:t>
            </w:r>
            <w:r>
              <w:rPr>
                <w:rFonts w:hint="eastAsia" w:ascii="宋体" w:hAnsi="宋体" w:eastAsia="宋体" w:cs="宋体"/>
                <w:snapToGrid w:val="0"/>
                <w:color w:val="000000"/>
                <w:sz w:val="24"/>
                <w:szCs w:val="24"/>
                <w:highlight w:val="none"/>
                <w:lang w:val="en-US" w:eastAsia="en-US" w:bidi="ar-SA"/>
              </w:rPr>
              <w:t>分；</w:t>
            </w:r>
          </w:p>
          <w:p w14:paraId="031D0137">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 xml:space="preserve">方案存在明显缺漏，流程、方法不合理，得0 - </w:t>
            </w:r>
            <w:r>
              <w:rPr>
                <w:rFonts w:hint="eastAsia" w:ascii="宋体" w:hAnsi="宋体" w:cs="宋体"/>
                <w:snapToGrid w:val="0"/>
                <w:color w:val="000000"/>
                <w:sz w:val="24"/>
                <w:szCs w:val="24"/>
                <w:highlight w:val="none"/>
                <w:lang w:val="en-US" w:eastAsia="zh-CN" w:bidi="ar-SA"/>
              </w:rPr>
              <w:t>5</w:t>
            </w:r>
            <w:r>
              <w:rPr>
                <w:rFonts w:hint="eastAsia" w:ascii="宋体" w:hAnsi="宋体" w:eastAsia="宋体" w:cs="宋体"/>
                <w:snapToGrid w:val="0"/>
                <w:color w:val="000000"/>
                <w:sz w:val="24"/>
                <w:szCs w:val="24"/>
                <w:highlight w:val="none"/>
                <w:lang w:val="en-US" w:eastAsia="en-US" w:bidi="ar-SA"/>
              </w:rPr>
              <w:t>分。</w:t>
            </w:r>
          </w:p>
        </w:tc>
      </w:tr>
      <w:tr w14:paraId="06A9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559" w:type="dxa"/>
            <w:vMerge w:val="continue"/>
            <w:tcBorders>
              <w:left w:val="single" w:color="auto" w:sz="4" w:space="0"/>
              <w:right w:val="single" w:color="auto" w:sz="4" w:space="0"/>
            </w:tcBorders>
            <w:noWrap w:val="0"/>
            <w:vAlign w:val="center"/>
          </w:tcPr>
          <w:p w14:paraId="0263729F">
            <w:pPr>
              <w:spacing w:line="360" w:lineRule="auto"/>
              <w:jc w:val="center"/>
              <w:rPr>
                <w:rFonts w:hint="eastAsia" w:ascii="宋体" w:hAnsi="宋体" w:eastAsia="宋体" w:cs="宋体"/>
                <w:color w:val="000000"/>
                <w:sz w:val="24"/>
                <w:szCs w:val="24"/>
                <w:highlight w:val="none"/>
                <w:lang w:eastAsia="zh-CN"/>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C58E499">
            <w:pPr>
              <w:spacing w:line="360" w:lineRule="auto"/>
              <w:jc w:val="center"/>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故障诊断与分析能力</w:t>
            </w:r>
          </w:p>
          <w:p w14:paraId="21A5758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napToGrid w:val="0"/>
                <w:color w:val="000000"/>
                <w:sz w:val="24"/>
                <w:szCs w:val="24"/>
                <w:highlight w:val="none"/>
                <w:lang w:val="en-US" w:eastAsia="en-US" w:bidi="ar-SA"/>
              </w:rPr>
              <w:t>（</w:t>
            </w:r>
            <w:r>
              <w:rPr>
                <w:rFonts w:hint="eastAsia" w:ascii="宋体" w:hAnsi="宋体" w:cs="宋体"/>
                <w:snapToGrid w:val="0"/>
                <w:color w:val="000000"/>
                <w:sz w:val="24"/>
                <w:szCs w:val="24"/>
                <w:highlight w:val="none"/>
                <w:lang w:val="en-US" w:eastAsia="zh-CN" w:bidi="ar-SA"/>
              </w:rPr>
              <w:t>15</w:t>
            </w:r>
            <w:r>
              <w:rPr>
                <w:rFonts w:hint="eastAsia" w:ascii="宋体" w:hAnsi="宋体" w:eastAsia="宋体" w:cs="宋体"/>
                <w:snapToGrid w:val="0"/>
                <w:color w:val="000000"/>
                <w:sz w:val="24"/>
                <w:szCs w:val="24"/>
                <w:highlight w:val="none"/>
                <w:lang w:val="en-US" w:eastAsia="en-US" w:bidi="ar-SA"/>
              </w:rPr>
              <w:t>分）</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62A989D4">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对常见及潜在的污水处理设备故障能准确诊断和深入分析，提出针对性强的解决措施。</w:t>
            </w:r>
          </w:p>
          <w:p w14:paraId="56187C15">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诊断准确、分析深入、措施针对性强，得</w:t>
            </w:r>
            <w:r>
              <w:rPr>
                <w:rFonts w:hint="eastAsia" w:ascii="宋体" w:hAnsi="宋体" w:cs="宋体"/>
                <w:snapToGrid w:val="0"/>
                <w:color w:val="000000"/>
                <w:sz w:val="24"/>
                <w:szCs w:val="24"/>
                <w:highlight w:val="none"/>
                <w:lang w:val="en-US" w:eastAsia="zh-CN" w:bidi="ar-SA"/>
              </w:rPr>
              <w:t>11</w:t>
            </w:r>
            <w:r>
              <w:rPr>
                <w:rFonts w:hint="eastAsia" w:ascii="宋体" w:hAnsi="宋体" w:eastAsia="宋体" w:cs="宋体"/>
                <w:snapToGrid w:val="0"/>
                <w:color w:val="000000"/>
                <w:sz w:val="24"/>
                <w:szCs w:val="24"/>
                <w:highlight w:val="none"/>
                <w:lang w:val="en-US" w:eastAsia="en-US" w:bidi="ar-SA"/>
              </w:rPr>
              <w:t xml:space="preserve"> - </w:t>
            </w:r>
            <w:r>
              <w:rPr>
                <w:rFonts w:hint="eastAsia" w:ascii="宋体" w:hAnsi="宋体" w:cs="宋体"/>
                <w:snapToGrid w:val="0"/>
                <w:color w:val="000000"/>
                <w:sz w:val="24"/>
                <w:szCs w:val="24"/>
                <w:highlight w:val="none"/>
                <w:lang w:val="en-US" w:eastAsia="zh-CN" w:bidi="ar-SA"/>
              </w:rPr>
              <w:t>15</w:t>
            </w:r>
            <w:r>
              <w:rPr>
                <w:rFonts w:hint="eastAsia" w:ascii="宋体" w:hAnsi="宋体" w:eastAsia="宋体" w:cs="宋体"/>
                <w:snapToGrid w:val="0"/>
                <w:color w:val="000000"/>
                <w:sz w:val="24"/>
                <w:szCs w:val="24"/>
                <w:highlight w:val="none"/>
                <w:lang w:val="en-US" w:eastAsia="en-US" w:bidi="ar-SA"/>
              </w:rPr>
              <w:t>分；</w:t>
            </w:r>
          </w:p>
          <w:p w14:paraId="6E75E42C">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诊断基本准确，分析有一定深度，措施有一定针对性，得</w:t>
            </w:r>
            <w:r>
              <w:rPr>
                <w:rFonts w:hint="eastAsia" w:ascii="宋体" w:hAnsi="宋体" w:cs="宋体"/>
                <w:snapToGrid w:val="0"/>
                <w:color w:val="000000"/>
                <w:sz w:val="24"/>
                <w:szCs w:val="24"/>
                <w:highlight w:val="none"/>
                <w:lang w:val="en-US" w:eastAsia="zh-CN" w:bidi="ar-SA"/>
              </w:rPr>
              <w:t>6</w:t>
            </w:r>
            <w:r>
              <w:rPr>
                <w:rFonts w:hint="eastAsia" w:ascii="宋体" w:hAnsi="宋体" w:eastAsia="宋体" w:cs="宋体"/>
                <w:snapToGrid w:val="0"/>
                <w:color w:val="000000"/>
                <w:sz w:val="24"/>
                <w:szCs w:val="24"/>
                <w:highlight w:val="none"/>
                <w:lang w:val="en-US" w:eastAsia="en-US" w:bidi="ar-SA"/>
              </w:rPr>
              <w:t xml:space="preserve"> - </w:t>
            </w:r>
            <w:r>
              <w:rPr>
                <w:rFonts w:hint="eastAsia" w:ascii="宋体" w:hAnsi="宋体" w:cs="宋体"/>
                <w:snapToGrid w:val="0"/>
                <w:color w:val="000000"/>
                <w:sz w:val="24"/>
                <w:szCs w:val="24"/>
                <w:highlight w:val="none"/>
                <w:lang w:val="en-US" w:eastAsia="zh-CN" w:bidi="ar-SA"/>
              </w:rPr>
              <w:t>10</w:t>
            </w:r>
            <w:r>
              <w:rPr>
                <w:rFonts w:hint="eastAsia" w:ascii="宋体" w:hAnsi="宋体" w:eastAsia="宋体" w:cs="宋体"/>
                <w:snapToGrid w:val="0"/>
                <w:color w:val="000000"/>
                <w:sz w:val="24"/>
                <w:szCs w:val="24"/>
                <w:highlight w:val="none"/>
                <w:lang w:val="en-US" w:eastAsia="en-US" w:bidi="ar-SA"/>
              </w:rPr>
              <w:t>分；</w:t>
            </w:r>
          </w:p>
          <w:p w14:paraId="2A3D330E">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 xml:space="preserve">诊断不准确，分析浅薄，措施无针对性，得0 - </w:t>
            </w:r>
            <w:r>
              <w:rPr>
                <w:rFonts w:hint="eastAsia" w:ascii="宋体" w:hAnsi="宋体" w:cs="宋体"/>
                <w:snapToGrid w:val="0"/>
                <w:color w:val="000000"/>
                <w:sz w:val="24"/>
                <w:szCs w:val="24"/>
                <w:highlight w:val="none"/>
                <w:lang w:val="en-US" w:eastAsia="zh-CN" w:bidi="ar-SA"/>
              </w:rPr>
              <w:t>5</w:t>
            </w:r>
            <w:r>
              <w:rPr>
                <w:rFonts w:hint="eastAsia" w:ascii="宋体" w:hAnsi="宋体" w:eastAsia="宋体" w:cs="宋体"/>
                <w:snapToGrid w:val="0"/>
                <w:color w:val="000000"/>
                <w:sz w:val="24"/>
                <w:szCs w:val="24"/>
                <w:highlight w:val="none"/>
                <w:lang w:val="en-US" w:eastAsia="en-US" w:bidi="ar-SA"/>
              </w:rPr>
              <w:t>分。</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59" w:type="dxa"/>
            <w:vMerge w:val="continue"/>
            <w:tcBorders>
              <w:left w:val="single" w:color="auto" w:sz="4" w:space="0"/>
              <w:right w:val="single" w:color="auto" w:sz="4" w:space="0"/>
            </w:tcBorders>
            <w:noWrap w:val="0"/>
            <w:vAlign w:val="center"/>
          </w:tcPr>
          <w:p w14:paraId="1F0BA6A6">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10CF436">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en-US" w:eastAsia="zh-CN"/>
              </w:rPr>
              <w:t>应急维修预案</w:t>
            </w:r>
            <w:r>
              <w:rPr>
                <w:rFonts w:hint="eastAsia" w:ascii="宋体" w:hAnsi="宋体" w:eastAsia="宋体" w:cs="宋体"/>
                <w:color w:val="000000"/>
                <w:sz w:val="24"/>
                <w:szCs w:val="24"/>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eastAsia="宋体" w:cs="宋体"/>
                <w:color w:val="000000"/>
                <w:sz w:val="24"/>
                <w:szCs w:val="24"/>
                <w:highlight w:val="none"/>
              </w:rPr>
              <w:t>）</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748768D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制定详细应急维修预案，明确应急响应时间（响应时间越短得分越高）、抢修流程、人员调配等。</w:t>
            </w:r>
          </w:p>
          <w:p w14:paraId="6577821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响应时间30分钟内，预案全面、流程清晰、人员调配合理，得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 xml:space="preserve"> - </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p w14:paraId="73824F8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响应时间30 - 60分钟，预案较全面，得3 - </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p w14:paraId="04DA49EB">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响应时间60分钟以上，预案简单，得0 - 2分 。</w:t>
            </w:r>
          </w:p>
        </w:tc>
      </w:tr>
      <w:tr w14:paraId="1467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59" w:type="dxa"/>
            <w:vMerge w:val="continue"/>
            <w:tcBorders>
              <w:left w:val="single" w:color="auto" w:sz="4" w:space="0"/>
              <w:right w:val="single" w:color="auto" w:sz="4" w:space="0"/>
            </w:tcBorders>
            <w:noWrap w:val="0"/>
            <w:vAlign w:val="center"/>
          </w:tcPr>
          <w:p w14:paraId="180FEE96">
            <w:pPr>
              <w:shd w:val="clear" w:color="auto" w:fill="auto"/>
              <w:autoSpaceDE w:val="0"/>
              <w:autoSpaceDN w:val="0"/>
              <w:adjustRightInd w:val="0"/>
              <w:snapToGrid w:val="0"/>
              <w:spacing w:line="360" w:lineRule="auto"/>
              <w:rPr>
                <w:rFonts w:hint="eastAsia" w:ascii="宋体" w:hAnsi="宋体" w:cs="宋体"/>
                <w:color w:val="auto"/>
                <w:sz w:val="24"/>
                <w:szCs w:val="24"/>
                <w:highlight w:val="none"/>
                <w:lang w:val="en-US" w:eastAsia="zh-CN"/>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B9975C8">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质量保证措施（</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D95102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提出具体的维修质量保证措施，包括维修材料选用标准、质量检验标准和方法、质量保修期限（保修期限越长得分越高）。</w:t>
            </w:r>
          </w:p>
          <w:p w14:paraId="243135A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材料选用优质、检验标准和方法明确、保修2年及以上，得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 xml:space="preserve"> - </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p w14:paraId="28A4BAB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材料选用、检验标准及保修1 - 2年，得3 - </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p w14:paraId="107ABBC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材料选用无标准、检验方法不明确、保修1年以下，得0 - 2分。</w:t>
            </w:r>
          </w:p>
        </w:tc>
      </w:tr>
      <w:tr w14:paraId="5F76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59" w:type="dxa"/>
            <w:vMerge w:val="continue"/>
            <w:tcBorders>
              <w:left w:val="single" w:color="auto" w:sz="4" w:space="0"/>
              <w:right w:val="single" w:color="auto" w:sz="4" w:space="0"/>
            </w:tcBorders>
            <w:noWrap w:val="0"/>
            <w:vAlign w:val="center"/>
          </w:tcPr>
          <w:p w14:paraId="1FF1B480">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E0FCC2B">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en-US" w:eastAsia="zh-CN"/>
              </w:rPr>
              <w:t>新技术应用与节能措施</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26CDDB25">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在维修服务中能提出合理应用新技术、新工艺提高维修效率和质量的方案，或采取有效节能措施降低维修成本和能耗。</w:t>
            </w:r>
          </w:p>
          <w:p w14:paraId="63F387EB">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新技术、新工艺应用合理，节能措施有效，得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 xml:space="preserve"> - </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分；有一定新技术应用设想或节能措施，得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 xml:space="preserve"> - </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分；</w:t>
            </w:r>
          </w:p>
          <w:p w14:paraId="4EDFB537">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无相关内容，得0 分。</w:t>
            </w:r>
          </w:p>
        </w:tc>
      </w:tr>
      <w:tr w14:paraId="2369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59" w:type="dxa"/>
            <w:vMerge w:val="restart"/>
            <w:tcBorders>
              <w:top w:val="single" w:color="auto" w:sz="4" w:space="0"/>
              <w:left w:val="single" w:color="auto" w:sz="4" w:space="0"/>
              <w:right w:val="single" w:color="auto" w:sz="4" w:space="0"/>
            </w:tcBorders>
            <w:noWrap w:val="0"/>
            <w:vAlign w:val="center"/>
          </w:tcPr>
          <w:p w14:paraId="3919CBF3">
            <w:pPr>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售后服务</w:t>
            </w:r>
          </w:p>
          <w:p w14:paraId="15311BFE">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000450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售后服务响应时间</w:t>
            </w:r>
          </w:p>
          <w:p w14:paraId="0C3C08AE">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（5分）</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A3F173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承诺售后服务响应时间2小时内得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分；2 - 4小时得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p w14:paraId="0A501A66">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4小时以上得0分。</w:t>
            </w:r>
          </w:p>
        </w:tc>
      </w:tr>
      <w:tr w14:paraId="0731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59" w:type="dxa"/>
            <w:vMerge w:val="continue"/>
            <w:tcBorders>
              <w:left w:val="single" w:color="auto" w:sz="4" w:space="0"/>
              <w:right w:val="single" w:color="auto" w:sz="4" w:space="0"/>
            </w:tcBorders>
            <w:noWrap w:val="0"/>
            <w:vAlign w:val="center"/>
          </w:tcPr>
          <w:p w14:paraId="197847B0">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586331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培训服务</w:t>
            </w:r>
          </w:p>
          <w:p w14:paraId="1C33E71C">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0E14CECA">
            <w:pPr>
              <w:numPr>
                <w:ilvl w:val="0"/>
                <w:numId w:val="0"/>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提供针对污水处理站运营人员的维修知识和设备操作培训方案，方案全面、内容实用得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 </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34B3A4A8">
            <w:pPr>
              <w:numPr>
                <w:ilvl w:val="0"/>
                <w:numId w:val="0"/>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有简单培训计划，得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 </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654E07B1">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无培训服务内容，得0分。</w:t>
            </w:r>
          </w:p>
        </w:tc>
      </w:tr>
      <w:tr w14:paraId="11F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14:paraId="380D4B6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14:paraId="612618A2">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A1A9F6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12C185F">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近3年每有1项类似污水处理站维修服务业绩得2分，最高得10分。需提供合同关键页（包含项目名称、服务内容、签订时间、双方盖章等）作为证明材料，否则不计分。</w:t>
            </w:r>
          </w:p>
        </w:tc>
      </w:tr>
      <w:tr w14:paraId="3AC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104" w:type="dxa"/>
            <w:gridSpan w:val="2"/>
            <w:tcBorders>
              <w:top w:val="single" w:color="auto" w:sz="4" w:space="0"/>
              <w:left w:val="single" w:color="auto" w:sz="4" w:space="0"/>
              <w:bottom w:val="single" w:color="auto" w:sz="4" w:space="0"/>
              <w:right w:val="single" w:color="auto" w:sz="4" w:space="0"/>
            </w:tcBorders>
            <w:noWrap w:val="0"/>
            <w:vAlign w:val="center"/>
          </w:tcPr>
          <w:p w14:paraId="4D0C80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EF42216">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_Toc520356170"/>
      <w:bookmarkStart w:id="6" w:name="成交供货商候选人的确定标准"/>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7F314BB1">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62A6AC81">
      <w:pPr>
        <w:spacing w:line="480" w:lineRule="exact"/>
        <w:ind w:firstLine="480" w:firstLineChars="200"/>
        <w:rPr>
          <w:rFonts w:hint="eastAsia" w:ascii="宋体" w:hAnsi="宋体" w:cs="宋体"/>
          <w:sz w:val="24"/>
        </w:rPr>
      </w:pPr>
      <w:r>
        <w:rPr>
          <w:rFonts w:hint="eastAsia" w:ascii="宋体" w:hAnsi="宋体" w:cs="宋体"/>
          <w:sz w:val="24"/>
        </w:rPr>
        <w:t>甲方：</w:t>
      </w:r>
      <w:r>
        <w:rPr>
          <w:rFonts w:hint="eastAsia" w:ascii="宋体" w:hAnsi="宋体" w:cs="宋体"/>
          <w:sz w:val="24"/>
          <w:u w:val="single"/>
        </w:rPr>
        <w:t>陕西中医药大学第二附属医院</w:t>
      </w:r>
      <w:r>
        <w:rPr>
          <w:rFonts w:hint="eastAsia" w:ascii="宋体" w:hAnsi="宋体" w:cs="宋体"/>
          <w:sz w:val="24"/>
        </w:rPr>
        <w:t>，其注册登记地址为：</w:t>
      </w:r>
      <w:r>
        <w:rPr>
          <w:rFonts w:hint="eastAsia" w:ascii="宋体" w:hAnsi="宋体" w:cs="宋体"/>
          <w:sz w:val="24"/>
          <w:u w:val="single"/>
        </w:rPr>
        <w:t>陕西省咸阳市渭阳西路5号</w:t>
      </w:r>
      <w:r>
        <w:rPr>
          <w:rFonts w:hint="eastAsia" w:ascii="宋体" w:hAnsi="宋体" w:cs="宋体"/>
          <w:sz w:val="24"/>
        </w:rPr>
        <w:t>，法定代表人为：</w:t>
      </w:r>
      <w:r>
        <w:rPr>
          <w:rFonts w:hint="eastAsia" w:ascii="宋体" w:hAnsi="宋体" w:cs="宋体"/>
          <w:sz w:val="24"/>
          <w:u w:val="single"/>
        </w:rPr>
        <w:t xml:space="preserve"> </w:t>
      </w:r>
      <w:r>
        <w:rPr>
          <w:rFonts w:hint="eastAsia" w:ascii="宋体" w:hAnsi="宋体" w:cs="宋体"/>
          <w:sz w:val="24"/>
        </w:rPr>
        <w:t>。</w:t>
      </w:r>
    </w:p>
    <w:p w14:paraId="668B72D9">
      <w:pPr>
        <w:spacing w:line="480" w:lineRule="exact"/>
        <w:ind w:firstLine="480" w:firstLineChars="200"/>
        <w:jc w:val="left"/>
        <w:rPr>
          <w:rFonts w:hint="eastAsia" w:ascii="宋体" w:hAnsi="宋体" w:cs="宋体"/>
          <w:sz w:val="24"/>
        </w:rPr>
      </w:pPr>
      <w:r>
        <w:rPr>
          <w:rFonts w:hint="eastAsia" w:ascii="宋体" w:hAnsi="宋体" w:cs="宋体"/>
          <w:sz w:val="24"/>
        </w:rPr>
        <w:t>乙方： ，其注册登记地址为：</w:t>
      </w:r>
      <w:r>
        <w:rPr>
          <w:rFonts w:hint="eastAsia" w:ascii="宋体" w:hAnsi="宋体" w:cs="宋体"/>
          <w:sz w:val="24"/>
          <w:u w:val="single"/>
        </w:rPr>
        <w:t xml:space="preserve"> </w:t>
      </w:r>
      <w:r>
        <w:rPr>
          <w:rFonts w:hint="eastAsia" w:ascii="宋体" w:hAnsi="宋体" w:cs="宋体"/>
          <w:sz w:val="24"/>
        </w:rPr>
        <w:t>， 法定代表人为：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60250DB7">
      <w:pPr>
        <w:spacing w:line="480" w:lineRule="exact"/>
        <w:ind w:firstLine="480" w:firstLineChars="200"/>
        <w:rPr>
          <w:rFonts w:hint="eastAsia"/>
        </w:rPr>
      </w:pPr>
      <w:r>
        <w:rPr>
          <w:rFonts w:hint="eastAsia" w:ascii="宋体" w:hAnsi="宋体" w:cs="宋体"/>
          <w:sz w:val="24"/>
        </w:rPr>
        <w:t>甲、乙双方基于公平、公正、平等的原则，依据《中华人民共和国民法典》、等相关法律法规规定，现经甲、乙双方友好协商，就甲方</w:t>
      </w:r>
      <w:r>
        <w:rPr>
          <w:rFonts w:hint="eastAsia" w:ascii="宋体" w:hAnsi="宋体" w:cs="宋体"/>
          <w:sz w:val="24"/>
          <w:lang w:val="en-US" w:eastAsia="zh-CN"/>
        </w:rPr>
        <w:t xml:space="preserve">      </w:t>
      </w:r>
      <w:r>
        <w:rPr>
          <w:rFonts w:hint="eastAsia" w:ascii="宋体" w:hAnsi="宋体" w:cs="宋体"/>
          <w:sz w:val="24"/>
        </w:rPr>
        <w:t>事宜，达成以下合同条款：</w:t>
      </w:r>
    </w:p>
    <w:p w14:paraId="37FA0D83">
      <w:pPr>
        <w:numPr>
          <w:ilvl w:val="0"/>
          <w:numId w:val="2"/>
        </w:numPr>
        <w:spacing w:line="360" w:lineRule="auto"/>
        <w:ind w:firstLine="482" w:firstLineChars="200"/>
        <w:rPr>
          <w:rFonts w:hint="eastAsia" w:ascii="宋体" w:hAnsi="宋体" w:cs="宋体"/>
          <w:b/>
          <w:sz w:val="24"/>
        </w:rPr>
      </w:pPr>
      <w:r>
        <w:rPr>
          <w:rFonts w:hint="eastAsia" w:ascii="宋体" w:hAnsi="宋体" w:cs="宋体"/>
          <w:b/>
          <w:bCs/>
          <w:sz w:val="24"/>
        </w:rPr>
        <w:t>采购清单及技术参数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14:paraId="23BD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2B88B819">
            <w:pPr>
              <w:widowControl w:val="0"/>
              <w:numPr>
                <w:ilvl w:val="0"/>
                <w:numId w:val="0"/>
              </w:numPr>
              <w:spacing w:line="360" w:lineRule="auto"/>
              <w:jc w:val="both"/>
              <w:rPr>
                <w:rFonts w:hint="eastAsia" w:ascii="宋体" w:hAnsi="宋体" w:cs="宋体"/>
                <w:b/>
                <w:sz w:val="24"/>
                <w:vertAlign w:val="baseline"/>
              </w:rPr>
            </w:pPr>
          </w:p>
        </w:tc>
        <w:tc>
          <w:tcPr>
            <w:tcW w:w="1740" w:type="dxa"/>
          </w:tcPr>
          <w:p w14:paraId="7FF61C9C">
            <w:pPr>
              <w:widowControl w:val="0"/>
              <w:numPr>
                <w:ilvl w:val="0"/>
                <w:numId w:val="0"/>
              </w:numPr>
              <w:spacing w:line="360" w:lineRule="auto"/>
              <w:jc w:val="both"/>
              <w:rPr>
                <w:rFonts w:hint="eastAsia" w:ascii="宋体" w:hAnsi="宋体" w:cs="宋体"/>
                <w:b/>
                <w:sz w:val="24"/>
                <w:vertAlign w:val="baseline"/>
              </w:rPr>
            </w:pPr>
          </w:p>
        </w:tc>
        <w:tc>
          <w:tcPr>
            <w:tcW w:w="1740" w:type="dxa"/>
          </w:tcPr>
          <w:p w14:paraId="6FA4E35C">
            <w:pPr>
              <w:widowControl w:val="0"/>
              <w:numPr>
                <w:ilvl w:val="0"/>
                <w:numId w:val="0"/>
              </w:numPr>
              <w:spacing w:line="360" w:lineRule="auto"/>
              <w:jc w:val="both"/>
              <w:rPr>
                <w:rFonts w:hint="eastAsia" w:ascii="宋体" w:hAnsi="宋体" w:cs="宋体"/>
                <w:b/>
                <w:sz w:val="24"/>
                <w:vertAlign w:val="baseline"/>
              </w:rPr>
            </w:pPr>
          </w:p>
        </w:tc>
        <w:tc>
          <w:tcPr>
            <w:tcW w:w="1741" w:type="dxa"/>
          </w:tcPr>
          <w:p w14:paraId="01A601EB">
            <w:pPr>
              <w:widowControl w:val="0"/>
              <w:numPr>
                <w:ilvl w:val="0"/>
                <w:numId w:val="0"/>
              </w:numPr>
              <w:spacing w:line="360" w:lineRule="auto"/>
              <w:jc w:val="both"/>
              <w:rPr>
                <w:rFonts w:hint="eastAsia" w:ascii="宋体" w:hAnsi="宋体" w:cs="宋体"/>
                <w:b/>
                <w:sz w:val="24"/>
                <w:vertAlign w:val="baseline"/>
              </w:rPr>
            </w:pPr>
          </w:p>
        </w:tc>
        <w:tc>
          <w:tcPr>
            <w:tcW w:w="1741" w:type="dxa"/>
          </w:tcPr>
          <w:p w14:paraId="00F2F247">
            <w:pPr>
              <w:widowControl w:val="0"/>
              <w:numPr>
                <w:ilvl w:val="0"/>
                <w:numId w:val="0"/>
              </w:numPr>
              <w:spacing w:line="360" w:lineRule="auto"/>
              <w:jc w:val="both"/>
              <w:rPr>
                <w:rFonts w:hint="eastAsia" w:ascii="宋体" w:hAnsi="宋体" w:cs="宋体"/>
                <w:b/>
                <w:sz w:val="24"/>
                <w:vertAlign w:val="baseline"/>
              </w:rPr>
            </w:pPr>
          </w:p>
        </w:tc>
      </w:tr>
      <w:tr w14:paraId="1089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066930D5">
            <w:pPr>
              <w:widowControl w:val="0"/>
              <w:numPr>
                <w:ilvl w:val="0"/>
                <w:numId w:val="0"/>
              </w:numPr>
              <w:spacing w:line="360" w:lineRule="auto"/>
              <w:jc w:val="both"/>
              <w:rPr>
                <w:rFonts w:hint="eastAsia" w:ascii="宋体" w:hAnsi="宋体" w:cs="宋体"/>
                <w:b/>
                <w:sz w:val="24"/>
                <w:vertAlign w:val="baseline"/>
              </w:rPr>
            </w:pPr>
          </w:p>
        </w:tc>
        <w:tc>
          <w:tcPr>
            <w:tcW w:w="1740" w:type="dxa"/>
          </w:tcPr>
          <w:p w14:paraId="2DD2B528">
            <w:pPr>
              <w:widowControl w:val="0"/>
              <w:numPr>
                <w:ilvl w:val="0"/>
                <w:numId w:val="0"/>
              </w:numPr>
              <w:spacing w:line="360" w:lineRule="auto"/>
              <w:jc w:val="both"/>
              <w:rPr>
                <w:rFonts w:hint="eastAsia" w:ascii="宋体" w:hAnsi="宋体" w:cs="宋体"/>
                <w:b/>
                <w:sz w:val="24"/>
                <w:vertAlign w:val="baseline"/>
              </w:rPr>
            </w:pPr>
          </w:p>
        </w:tc>
        <w:tc>
          <w:tcPr>
            <w:tcW w:w="1740" w:type="dxa"/>
          </w:tcPr>
          <w:p w14:paraId="0CE35D51">
            <w:pPr>
              <w:widowControl w:val="0"/>
              <w:numPr>
                <w:ilvl w:val="0"/>
                <w:numId w:val="0"/>
              </w:numPr>
              <w:spacing w:line="360" w:lineRule="auto"/>
              <w:jc w:val="both"/>
              <w:rPr>
                <w:rFonts w:hint="eastAsia" w:ascii="宋体" w:hAnsi="宋体" w:cs="宋体"/>
                <w:b/>
                <w:sz w:val="24"/>
                <w:vertAlign w:val="baseline"/>
              </w:rPr>
            </w:pPr>
          </w:p>
        </w:tc>
        <w:tc>
          <w:tcPr>
            <w:tcW w:w="1741" w:type="dxa"/>
          </w:tcPr>
          <w:p w14:paraId="2858AE22">
            <w:pPr>
              <w:widowControl w:val="0"/>
              <w:numPr>
                <w:ilvl w:val="0"/>
                <w:numId w:val="0"/>
              </w:numPr>
              <w:spacing w:line="360" w:lineRule="auto"/>
              <w:jc w:val="both"/>
              <w:rPr>
                <w:rFonts w:hint="eastAsia" w:ascii="宋体" w:hAnsi="宋体" w:cs="宋体"/>
                <w:b/>
                <w:sz w:val="24"/>
                <w:vertAlign w:val="baseline"/>
              </w:rPr>
            </w:pPr>
          </w:p>
        </w:tc>
        <w:tc>
          <w:tcPr>
            <w:tcW w:w="1741" w:type="dxa"/>
          </w:tcPr>
          <w:p w14:paraId="77CDF778">
            <w:pPr>
              <w:widowControl w:val="0"/>
              <w:numPr>
                <w:ilvl w:val="0"/>
                <w:numId w:val="0"/>
              </w:numPr>
              <w:spacing w:line="360" w:lineRule="auto"/>
              <w:jc w:val="both"/>
              <w:rPr>
                <w:rFonts w:hint="eastAsia" w:ascii="宋体" w:hAnsi="宋体" w:cs="宋体"/>
                <w:b/>
                <w:sz w:val="24"/>
                <w:vertAlign w:val="baseline"/>
              </w:rPr>
            </w:pPr>
          </w:p>
        </w:tc>
      </w:tr>
      <w:tr w14:paraId="7412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6CEF535B">
            <w:pPr>
              <w:widowControl w:val="0"/>
              <w:numPr>
                <w:ilvl w:val="0"/>
                <w:numId w:val="0"/>
              </w:numPr>
              <w:spacing w:line="360" w:lineRule="auto"/>
              <w:jc w:val="both"/>
              <w:rPr>
                <w:rFonts w:hint="eastAsia" w:ascii="宋体" w:hAnsi="宋体" w:cs="宋体"/>
                <w:b/>
                <w:sz w:val="24"/>
                <w:vertAlign w:val="baseline"/>
              </w:rPr>
            </w:pPr>
          </w:p>
        </w:tc>
        <w:tc>
          <w:tcPr>
            <w:tcW w:w="1740" w:type="dxa"/>
          </w:tcPr>
          <w:p w14:paraId="3755C1B1">
            <w:pPr>
              <w:widowControl w:val="0"/>
              <w:numPr>
                <w:ilvl w:val="0"/>
                <w:numId w:val="0"/>
              </w:numPr>
              <w:spacing w:line="360" w:lineRule="auto"/>
              <w:jc w:val="both"/>
              <w:rPr>
                <w:rFonts w:hint="eastAsia" w:ascii="宋体" w:hAnsi="宋体" w:cs="宋体"/>
                <w:b/>
                <w:sz w:val="24"/>
                <w:vertAlign w:val="baseline"/>
              </w:rPr>
            </w:pPr>
          </w:p>
        </w:tc>
        <w:tc>
          <w:tcPr>
            <w:tcW w:w="1740" w:type="dxa"/>
          </w:tcPr>
          <w:p w14:paraId="780FEE1C">
            <w:pPr>
              <w:widowControl w:val="0"/>
              <w:numPr>
                <w:ilvl w:val="0"/>
                <w:numId w:val="0"/>
              </w:numPr>
              <w:spacing w:line="360" w:lineRule="auto"/>
              <w:jc w:val="both"/>
              <w:rPr>
                <w:rFonts w:hint="eastAsia" w:ascii="宋体" w:hAnsi="宋体" w:cs="宋体"/>
                <w:b/>
                <w:sz w:val="24"/>
                <w:vertAlign w:val="baseline"/>
              </w:rPr>
            </w:pPr>
          </w:p>
        </w:tc>
        <w:tc>
          <w:tcPr>
            <w:tcW w:w="1741" w:type="dxa"/>
          </w:tcPr>
          <w:p w14:paraId="63703803">
            <w:pPr>
              <w:widowControl w:val="0"/>
              <w:numPr>
                <w:ilvl w:val="0"/>
                <w:numId w:val="0"/>
              </w:numPr>
              <w:spacing w:line="360" w:lineRule="auto"/>
              <w:jc w:val="both"/>
              <w:rPr>
                <w:rFonts w:hint="eastAsia" w:ascii="宋体" w:hAnsi="宋体" w:cs="宋体"/>
                <w:b/>
                <w:sz w:val="24"/>
                <w:vertAlign w:val="baseline"/>
              </w:rPr>
            </w:pPr>
          </w:p>
        </w:tc>
        <w:tc>
          <w:tcPr>
            <w:tcW w:w="1741" w:type="dxa"/>
          </w:tcPr>
          <w:p w14:paraId="32822A68">
            <w:pPr>
              <w:widowControl w:val="0"/>
              <w:numPr>
                <w:ilvl w:val="0"/>
                <w:numId w:val="0"/>
              </w:numPr>
              <w:spacing w:line="360" w:lineRule="auto"/>
              <w:jc w:val="both"/>
              <w:rPr>
                <w:rFonts w:hint="eastAsia" w:ascii="宋体" w:hAnsi="宋体" w:cs="宋体"/>
                <w:b/>
                <w:sz w:val="24"/>
                <w:vertAlign w:val="baseline"/>
              </w:rPr>
            </w:pPr>
          </w:p>
        </w:tc>
      </w:tr>
      <w:tr w14:paraId="5BED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555ACBA1">
            <w:pPr>
              <w:widowControl w:val="0"/>
              <w:numPr>
                <w:ilvl w:val="0"/>
                <w:numId w:val="0"/>
              </w:numPr>
              <w:spacing w:line="360" w:lineRule="auto"/>
              <w:jc w:val="both"/>
              <w:rPr>
                <w:rFonts w:hint="eastAsia" w:ascii="宋体" w:hAnsi="宋体" w:cs="宋体"/>
                <w:b/>
                <w:sz w:val="24"/>
                <w:vertAlign w:val="baseline"/>
              </w:rPr>
            </w:pPr>
          </w:p>
        </w:tc>
        <w:tc>
          <w:tcPr>
            <w:tcW w:w="1740" w:type="dxa"/>
          </w:tcPr>
          <w:p w14:paraId="78888F90">
            <w:pPr>
              <w:widowControl w:val="0"/>
              <w:numPr>
                <w:ilvl w:val="0"/>
                <w:numId w:val="0"/>
              </w:numPr>
              <w:spacing w:line="360" w:lineRule="auto"/>
              <w:jc w:val="both"/>
              <w:rPr>
                <w:rFonts w:hint="eastAsia" w:ascii="宋体" w:hAnsi="宋体" w:cs="宋体"/>
                <w:b/>
                <w:sz w:val="24"/>
                <w:vertAlign w:val="baseline"/>
              </w:rPr>
            </w:pPr>
          </w:p>
        </w:tc>
        <w:tc>
          <w:tcPr>
            <w:tcW w:w="1740" w:type="dxa"/>
          </w:tcPr>
          <w:p w14:paraId="4A907CA8">
            <w:pPr>
              <w:widowControl w:val="0"/>
              <w:numPr>
                <w:ilvl w:val="0"/>
                <w:numId w:val="0"/>
              </w:numPr>
              <w:spacing w:line="360" w:lineRule="auto"/>
              <w:jc w:val="both"/>
              <w:rPr>
                <w:rFonts w:hint="eastAsia" w:ascii="宋体" w:hAnsi="宋体" w:cs="宋体"/>
                <w:b/>
                <w:sz w:val="24"/>
                <w:vertAlign w:val="baseline"/>
              </w:rPr>
            </w:pPr>
          </w:p>
        </w:tc>
        <w:tc>
          <w:tcPr>
            <w:tcW w:w="1741" w:type="dxa"/>
          </w:tcPr>
          <w:p w14:paraId="2F49ECFD">
            <w:pPr>
              <w:widowControl w:val="0"/>
              <w:numPr>
                <w:ilvl w:val="0"/>
                <w:numId w:val="0"/>
              </w:numPr>
              <w:spacing w:line="360" w:lineRule="auto"/>
              <w:jc w:val="both"/>
              <w:rPr>
                <w:rFonts w:hint="eastAsia" w:ascii="宋体" w:hAnsi="宋体" w:cs="宋体"/>
                <w:b/>
                <w:sz w:val="24"/>
                <w:vertAlign w:val="baseline"/>
              </w:rPr>
            </w:pPr>
          </w:p>
        </w:tc>
        <w:tc>
          <w:tcPr>
            <w:tcW w:w="1741" w:type="dxa"/>
          </w:tcPr>
          <w:p w14:paraId="77EA9CEA">
            <w:pPr>
              <w:widowControl w:val="0"/>
              <w:numPr>
                <w:ilvl w:val="0"/>
                <w:numId w:val="0"/>
              </w:numPr>
              <w:spacing w:line="360" w:lineRule="auto"/>
              <w:jc w:val="both"/>
              <w:rPr>
                <w:rFonts w:hint="eastAsia" w:ascii="宋体" w:hAnsi="宋体" w:cs="宋体"/>
                <w:b/>
                <w:sz w:val="24"/>
                <w:vertAlign w:val="baseline"/>
              </w:rPr>
            </w:pPr>
          </w:p>
        </w:tc>
      </w:tr>
      <w:tr w14:paraId="3675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0F3634D7">
            <w:pPr>
              <w:widowControl w:val="0"/>
              <w:numPr>
                <w:ilvl w:val="0"/>
                <w:numId w:val="0"/>
              </w:numPr>
              <w:spacing w:line="360" w:lineRule="auto"/>
              <w:jc w:val="both"/>
              <w:rPr>
                <w:rFonts w:hint="eastAsia" w:ascii="宋体" w:hAnsi="宋体" w:cs="宋体"/>
                <w:b/>
                <w:sz w:val="24"/>
                <w:vertAlign w:val="baseline"/>
              </w:rPr>
            </w:pPr>
          </w:p>
        </w:tc>
        <w:tc>
          <w:tcPr>
            <w:tcW w:w="1740" w:type="dxa"/>
          </w:tcPr>
          <w:p w14:paraId="45711C61">
            <w:pPr>
              <w:widowControl w:val="0"/>
              <w:numPr>
                <w:ilvl w:val="0"/>
                <w:numId w:val="0"/>
              </w:numPr>
              <w:spacing w:line="360" w:lineRule="auto"/>
              <w:jc w:val="both"/>
              <w:rPr>
                <w:rFonts w:hint="eastAsia" w:ascii="宋体" w:hAnsi="宋体" w:cs="宋体"/>
                <w:b/>
                <w:sz w:val="24"/>
                <w:vertAlign w:val="baseline"/>
              </w:rPr>
            </w:pPr>
          </w:p>
        </w:tc>
        <w:tc>
          <w:tcPr>
            <w:tcW w:w="1740" w:type="dxa"/>
          </w:tcPr>
          <w:p w14:paraId="352FA961">
            <w:pPr>
              <w:widowControl w:val="0"/>
              <w:numPr>
                <w:ilvl w:val="0"/>
                <w:numId w:val="0"/>
              </w:numPr>
              <w:spacing w:line="360" w:lineRule="auto"/>
              <w:jc w:val="both"/>
              <w:rPr>
                <w:rFonts w:hint="eastAsia" w:ascii="宋体" w:hAnsi="宋体" w:cs="宋体"/>
                <w:b/>
                <w:sz w:val="24"/>
                <w:vertAlign w:val="baseline"/>
              </w:rPr>
            </w:pPr>
          </w:p>
        </w:tc>
        <w:tc>
          <w:tcPr>
            <w:tcW w:w="1741" w:type="dxa"/>
          </w:tcPr>
          <w:p w14:paraId="4432CE41">
            <w:pPr>
              <w:widowControl w:val="0"/>
              <w:numPr>
                <w:ilvl w:val="0"/>
                <w:numId w:val="0"/>
              </w:numPr>
              <w:spacing w:line="360" w:lineRule="auto"/>
              <w:jc w:val="both"/>
              <w:rPr>
                <w:rFonts w:hint="eastAsia" w:ascii="宋体" w:hAnsi="宋体" w:cs="宋体"/>
                <w:b/>
                <w:sz w:val="24"/>
                <w:vertAlign w:val="baseline"/>
              </w:rPr>
            </w:pPr>
          </w:p>
        </w:tc>
        <w:tc>
          <w:tcPr>
            <w:tcW w:w="1741" w:type="dxa"/>
          </w:tcPr>
          <w:p w14:paraId="6D441514">
            <w:pPr>
              <w:widowControl w:val="0"/>
              <w:numPr>
                <w:ilvl w:val="0"/>
                <w:numId w:val="0"/>
              </w:numPr>
              <w:spacing w:line="360" w:lineRule="auto"/>
              <w:jc w:val="both"/>
              <w:rPr>
                <w:rFonts w:hint="eastAsia" w:ascii="宋体" w:hAnsi="宋体" w:cs="宋体"/>
                <w:b/>
                <w:sz w:val="24"/>
                <w:vertAlign w:val="baseline"/>
              </w:rPr>
            </w:pPr>
          </w:p>
        </w:tc>
      </w:tr>
    </w:tbl>
    <w:p w14:paraId="6D0D589D">
      <w:pPr>
        <w:widowControl w:val="0"/>
        <w:numPr>
          <w:ilvl w:val="0"/>
          <w:numId w:val="0"/>
        </w:numPr>
        <w:spacing w:line="360" w:lineRule="auto"/>
        <w:jc w:val="both"/>
        <w:rPr>
          <w:rFonts w:hint="eastAsia" w:ascii="宋体" w:hAnsi="宋体" w:cs="宋体"/>
          <w:b/>
          <w:sz w:val="24"/>
        </w:rPr>
      </w:pPr>
    </w:p>
    <w:p w14:paraId="5E6A924E">
      <w:pPr>
        <w:spacing w:line="480" w:lineRule="exact"/>
        <w:ind w:firstLine="480" w:firstLineChars="200"/>
        <w:rPr>
          <w:rFonts w:ascii="宋体" w:hAnsi="宋体" w:cs="宋体"/>
          <w:bCs/>
          <w:sz w:val="24"/>
        </w:rPr>
      </w:pPr>
      <w:r>
        <w:rPr>
          <w:rFonts w:hint="eastAsia" w:ascii="宋体" w:hAnsi="宋体" w:cs="宋体"/>
          <w:bCs/>
          <w:sz w:val="24"/>
        </w:rPr>
        <w:t>1、安装时间：</w:t>
      </w:r>
      <w:r>
        <w:rPr>
          <w:rFonts w:hint="eastAsia" w:ascii="宋体" w:hAnsi="宋体" w:cs="宋体"/>
          <w:sz w:val="24"/>
        </w:rPr>
        <w:t>自合同</w:t>
      </w:r>
      <w:r>
        <w:rPr>
          <w:rFonts w:hint="eastAsia" w:ascii="宋体" w:hAnsi="宋体" w:cs="宋体"/>
          <w:sz w:val="24"/>
          <w:lang w:val="en-US" w:eastAsia="zh-CN"/>
        </w:rPr>
        <w:t>签订之日</w:t>
      </w:r>
      <w:r>
        <w:rPr>
          <w:rFonts w:hint="eastAsia" w:ascii="宋体" w:hAnsi="宋体" w:cs="宋体"/>
          <w:sz w:val="24"/>
        </w:rPr>
        <w:t>起</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rPr>
        <w:t>天</w:t>
      </w:r>
      <w:r>
        <w:rPr>
          <w:rFonts w:hint="eastAsia" w:ascii="宋体" w:hAnsi="宋体" w:cs="宋体"/>
          <w:sz w:val="24"/>
          <w:lang w:eastAsia="zh-CN"/>
        </w:rPr>
        <w:t>，</w:t>
      </w:r>
      <w:r>
        <w:rPr>
          <w:rFonts w:hint="eastAsia" w:ascii="宋体" w:hAnsi="宋体" w:cs="宋体"/>
          <w:sz w:val="24"/>
          <w:lang w:val="en-US" w:eastAsia="zh-CN"/>
        </w:rPr>
        <w:t>开工日期为本合同生效之日。由于不可抗力因素或者恶劣天气因素问题导致不能正常施工时，由双方协商顺其延长工时</w:t>
      </w:r>
      <w:r>
        <w:rPr>
          <w:rFonts w:hint="eastAsia" w:ascii="宋体" w:hAnsi="宋体" w:cs="宋体"/>
          <w:sz w:val="24"/>
          <w:lang w:eastAsia="zh-CN"/>
        </w:rPr>
        <w:t>。</w:t>
      </w:r>
    </w:p>
    <w:p w14:paraId="0259CC29">
      <w:pPr>
        <w:spacing w:line="360" w:lineRule="auto"/>
        <w:ind w:firstLine="480" w:firstLineChars="200"/>
        <w:rPr>
          <w:rFonts w:hint="eastAsia" w:ascii="宋体" w:hAnsi="宋体" w:cs="宋体"/>
          <w:b/>
          <w:bCs/>
          <w:sz w:val="24"/>
        </w:rPr>
      </w:pPr>
      <w:r>
        <w:rPr>
          <w:rFonts w:hint="eastAsia" w:ascii="宋体" w:hAnsi="宋体" w:cs="宋体"/>
          <w:bCs/>
          <w:sz w:val="24"/>
        </w:rPr>
        <w:t>2、安装地点：</w:t>
      </w:r>
      <w:r>
        <w:rPr>
          <w:rFonts w:hint="eastAsia" w:ascii="宋体" w:hAnsi="宋体" w:cs="宋体"/>
          <w:bCs/>
          <w:sz w:val="24"/>
          <w:lang w:val="en-US" w:eastAsia="zh-CN"/>
        </w:rPr>
        <w:t>秦都</w:t>
      </w:r>
      <w:r>
        <w:rPr>
          <w:rFonts w:hint="eastAsia" w:ascii="宋体" w:hAnsi="宋体" w:cs="宋体"/>
          <w:bCs/>
          <w:sz w:val="24"/>
        </w:rPr>
        <w:t>院区污水处理站</w:t>
      </w:r>
    </w:p>
    <w:p w14:paraId="2754D536">
      <w:pPr>
        <w:spacing w:line="360" w:lineRule="auto"/>
        <w:ind w:firstLine="482" w:firstLineChars="200"/>
        <w:rPr>
          <w:rFonts w:ascii="宋体" w:hAnsi="宋体" w:cs="宋体"/>
          <w:sz w:val="24"/>
        </w:rPr>
      </w:pPr>
      <w:r>
        <w:rPr>
          <w:rFonts w:hint="eastAsia" w:ascii="宋体" w:hAnsi="宋体" w:cs="宋体"/>
          <w:b/>
          <w:bCs/>
          <w:sz w:val="24"/>
        </w:rPr>
        <w:t>二、 合同价款</w:t>
      </w:r>
    </w:p>
    <w:p w14:paraId="07DE3AA4">
      <w:pPr>
        <w:pStyle w:val="18"/>
        <w:snapToGrid w:val="0"/>
        <w:spacing w:before="0" w:beforeAutospacing="0" w:after="0" w:afterAutospacing="0" w:line="480" w:lineRule="exact"/>
        <w:ind w:left="679" w:leftChars="209" w:hanging="240" w:hangingChars="100"/>
        <w:rPr>
          <w:rFonts w:hint="eastAsia"/>
          <w:kern w:val="2"/>
        </w:rPr>
      </w:pPr>
      <w:r>
        <w:rPr>
          <w:rFonts w:hint="eastAsia"/>
          <w:kern w:val="2"/>
          <w:lang w:val="en-US" w:eastAsia="zh-CN"/>
        </w:rPr>
        <w:t>1</w:t>
      </w:r>
      <w:r>
        <w:rPr>
          <w:rFonts w:hint="eastAsia"/>
          <w:kern w:val="2"/>
        </w:rPr>
        <w:t>、</w:t>
      </w:r>
      <w:r>
        <w:rPr>
          <w:rFonts w:hint="eastAsia"/>
          <w:kern w:val="2"/>
          <w:lang w:val="en-US" w:eastAsia="zh-CN"/>
        </w:rPr>
        <w:t>本项目费用</w:t>
      </w:r>
      <w:bookmarkStart w:id="61" w:name="_GoBack"/>
      <w:bookmarkEnd w:id="61"/>
      <w:r>
        <w:rPr>
          <w:rFonts w:hint="eastAsia"/>
          <w:kern w:val="2"/>
        </w:rPr>
        <w:t>暂计为</w:t>
      </w:r>
      <w:r>
        <w:rPr>
          <w:rFonts w:hint="eastAsia"/>
          <w:kern w:val="2"/>
          <w:lang w:val="en-US" w:eastAsia="zh-CN"/>
        </w:rPr>
        <w:t xml:space="preserve">   </w:t>
      </w:r>
      <w:r>
        <w:rPr>
          <w:rFonts w:hint="eastAsia"/>
          <w:kern w:val="2"/>
        </w:rPr>
        <w:t>元（大写：</w:t>
      </w:r>
      <w:r>
        <w:rPr>
          <w:rFonts w:hint="eastAsia"/>
          <w:kern w:val="2"/>
          <w:u w:val="single"/>
        </w:rPr>
        <w:t>人民币</w:t>
      </w:r>
      <w:r>
        <w:rPr>
          <w:rFonts w:hint="eastAsia"/>
          <w:kern w:val="2"/>
          <w:u w:val="single"/>
          <w:lang w:val="en-US" w:eastAsia="zh-CN"/>
        </w:rPr>
        <w:t xml:space="preserve">  </w:t>
      </w:r>
      <w:r>
        <w:rPr>
          <w:rFonts w:hint="eastAsia"/>
          <w:kern w:val="2"/>
          <w:u w:val="single"/>
        </w:rPr>
        <w:t>整</w:t>
      </w:r>
      <w:r>
        <w:rPr>
          <w:rFonts w:hint="eastAsia"/>
          <w:kern w:val="2"/>
        </w:rPr>
        <w:t>）。该总费用已包含乙方为履行本合同义务所需的材料费，人工费、车辆运输费、加油费、装卸费、维修保养费、安全文明施工费、税费等所有费用；</w:t>
      </w:r>
      <w:r>
        <w:rPr>
          <w:rFonts w:hint="eastAsia"/>
          <w:kern w:val="2"/>
          <w:lang w:val="en-US" w:eastAsia="zh-CN"/>
        </w:rPr>
        <w:t>最终费用按照实际用料据实结算，若最终结算的费用超出或者少于本合同预估价款，则甲方按照实际结算的费用向乙方支付合同价款。</w:t>
      </w:r>
    </w:p>
    <w:p w14:paraId="19741D61">
      <w:pPr>
        <w:widowControl/>
        <w:spacing w:line="480" w:lineRule="exact"/>
        <w:ind w:firstLine="480" w:firstLineChars="200"/>
        <w:jc w:val="left"/>
        <w:rPr>
          <w:rFonts w:hint="eastAsia"/>
          <w:color w:val="auto"/>
        </w:rPr>
      </w:pPr>
      <w:r>
        <w:rPr>
          <w:rFonts w:hint="eastAsia" w:ascii="宋体" w:hAnsi="宋体" w:cs="宋体"/>
          <w:bCs/>
          <w:sz w:val="24"/>
          <w:lang w:val="en-US" w:eastAsia="zh-CN"/>
        </w:rPr>
        <w:t>2</w:t>
      </w:r>
      <w:r>
        <w:rPr>
          <w:rFonts w:hint="eastAsia" w:ascii="宋体" w:hAnsi="宋体" w:cs="宋体"/>
          <w:bCs/>
          <w:sz w:val="24"/>
        </w:rPr>
        <w:t>、结算方式：根据实际用料据实结算。货到安装调试验收合格，污水站正常运行后支付结算总价的70%，污水站正常运行一季度之后支付剩余结算价款的25%，剩余结算总价的5%自甲方污水站正式使用后三年，无质量问题一次性无息付清。付款前5个工作日内，乙方需提前向甲方开具相应金额的正式税务发票。</w:t>
      </w:r>
      <w:r>
        <w:rPr>
          <w:rFonts w:hint="eastAsia"/>
          <w:color w:val="auto"/>
          <w:sz w:val="24"/>
        </w:rPr>
        <w:t>因乙方迟延开具发票，甲方有权顺延付款期限且不承担任何违约责任。</w:t>
      </w:r>
    </w:p>
    <w:p w14:paraId="35FC8D1C">
      <w:pPr>
        <w:spacing w:line="480" w:lineRule="exact"/>
        <w:ind w:firstLine="480" w:firstLineChars="200"/>
        <w:rPr>
          <w:rFonts w:hint="eastAsia" w:ascii="宋体" w:hAnsi="宋体" w:cs="宋体"/>
          <w:sz w:val="24"/>
        </w:rPr>
      </w:pPr>
      <w:r>
        <w:rPr>
          <w:rFonts w:hint="eastAsia" w:ascii="宋体" w:hAnsi="宋体" w:cs="宋体"/>
          <w:sz w:val="24"/>
        </w:rPr>
        <w:t>乙方账户：</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w:t>
      </w:r>
    </w:p>
    <w:p w14:paraId="509951DC">
      <w:pPr>
        <w:spacing w:line="480" w:lineRule="exact"/>
        <w:ind w:firstLine="480" w:firstLineChars="200"/>
        <w:rPr>
          <w:rFonts w:hint="eastAsia" w:ascii="宋体" w:hAnsi="宋体" w:cs="宋体"/>
          <w:sz w:val="24"/>
        </w:rPr>
      </w:pPr>
      <w:r>
        <w:rPr>
          <w:rFonts w:hint="eastAsia" w:ascii="宋体" w:hAnsi="宋体" w:cs="宋体"/>
          <w:sz w:val="24"/>
        </w:rPr>
        <w:t xml:space="preserve">账    号: </w:t>
      </w:r>
      <w:r>
        <w:rPr>
          <w:rFonts w:hint="eastAsia" w:ascii="宋体" w:hAnsi="宋体" w:cs="宋体"/>
          <w:sz w:val="24"/>
          <w:u w:val="single"/>
        </w:rPr>
        <w:t xml:space="preserve">        </w:t>
      </w:r>
      <w:r>
        <w:rPr>
          <w:rFonts w:hint="eastAsia" w:ascii="宋体" w:hAnsi="宋体" w:cs="宋体"/>
          <w:sz w:val="24"/>
        </w:rPr>
        <w:t xml:space="preserve">  </w:t>
      </w:r>
    </w:p>
    <w:p w14:paraId="1BB6504F">
      <w:pPr>
        <w:spacing w:line="480" w:lineRule="exact"/>
        <w:ind w:firstLine="480" w:firstLineChars="200"/>
        <w:rPr>
          <w:rFonts w:hint="eastAsia" w:ascii="宋体" w:hAnsi="宋体" w:cs="宋体"/>
          <w:b/>
          <w:bCs/>
          <w:sz w:val="24"/>
        </w:rPr>
      </w:pPr>
      <w:r>
        <w:rPr>
          <w:rFonts w:hint="eastAsia" w:ascii="宋体" w:hAnsi="宋体" w:cs="宋体"/>
          <w:sz w:val="24"/>
        </w:rPr>
        <w:t>开 户 行：</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5E29E7B6">
      <w:pPr>
        <w:spacing w:line="360" w:lineRule="auto"/>
        <w:ind w:firstLine="482" w:firstLineChars="200"/>
        <w:rPr>
          <w:rFonts w:hint="eastAsia" w:ascii="宋体" w:hAnsi="宋体" w:cs="宋体"/>
          <w:b/>
          <w:bCs/>
          <w:sz w:val="24"/>
        </w:rPr>
      </w:pPr>
      <w:r>
        <w:rPr>
          <w:rFonts w:hint="eastAsia" w:ascii="宋体" w:hAnsi="宋体" w:cs="宋体"/>
          <w:b/>
          <w:bCs/>
          <w:sz w:val="24"/>
        </w:rPr>
        <w:t>三、更换安装要求</w:t>
      </w:r>
    </w:p>
    <w:p w14:paraId="509DA81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cs="宋体"/>
          <w:sz w:val="24"/>
        </w:rPr>
      </w:pPr>
      <w:r>
        <w:rPr>
          <w:rFonts w:hint="eastAsia" w:ascii="宋体" w:hAnsi="宋体" w:cs="宋体"/>
          <w:sz w:val="24"/>
        </w:rPr>
        <w:t>乙方</w:t>
      </w:r>
      <w:r>
        <w:rPr>
          <w:rFonts w:hint="eastAsia" w:ascii="宋体" w:hAnsi="宋体" w:cs="宋体"/>
          <w:sz w:val="24"/>
          <w:szCs w:val="24"/>
          <w:lang w:val="en-US" w:eastAsia="zh-CN"/>
        </w:rPr>
        <w:t>需对污水站内电控柜进行维修，对控制柜内损坏原件进行更换，包含但不限于更换CPU、拓展模块2块、触摸屏、开关电源，更换后应对电控柜进行调试，确保电控柜操作指令等各项正常，显示数据及指示灯准确；需将原一级、二级斜管沉淀池内生物填料及填料支架拆除，拆除后安装新的填料及填料支架；对所有调节池、一级、二级斜管沉淀池、接触消毒池池体全面清理，检修维护，漏点排查，所有池体做环氧煤沥青防腐处理。</w:t>
      </w:r>
      <w:r>
        <w:rPr>
          <w:rFonts w:hint="eastAsia" w:ascii="宋体" w:hAnsi="宋体" w:cs="宋体"/>
          <w:sz w:val="24"/>
        </w:rPr>
        <w:t>所有相关池体内清掏的废弃污泥、废弃填料，按甲方要求放至指定地点，由甲方交由有资质的单位进行处置</w:t>
      </w:r>
      <w:r>
        <w:rPr>
          <w:rFonts w:hint="eastAsia" w:ascii="宋体" w:hAnsi="宋体" w:cs="宋体"/>
          <w:sz w:val="24"/>
          <w:lang w:eastAsia="zh-CN"/>
        </w:rPr>
        <w:t>，</w:t>
      </w:r>
      <w:r>
        <w:rPr>
          <w:rFonts w:hint="eastAsia" w:ascii="宋体" w:hAnsi="宋体" w:cs="宋体"/>
          <w:sz w:val="24"/>
        </w:rPr>
        <w:t>拆除及安装工期共计30天</w:t>
      </w:r>
      <w:r>
        <w:rPr>
          <w:rFonts w:hint="eastAsia" w:ascii="宋体" w:hAnsi="宋体" w:cs="宋体"/>
          <w:sz w:val="24"/>
          <w:lang w:eastAsia="zh-CN"/>
        </w:rPr>
        <w:t>，</w:t>
      </w:r>
      <w:r>
        <w:rPr>
          <w:rFonts w:hint="eastAsia" w:ascii="宋体" w:hAnsi="宋体" w:cs="宋体"/>
          <w:sz w:val="24"/>
          <w:lang w:val="en-US" w:eastAsia="zh-CN"/>
        </w:rPr>
        <w:t>开工日期为本合同生效之日。由于不可抗力因素或者恶劣天气因素问题导致不能正常施工时，由双方协商顺其延长工时</w:t>
      </w:r>
      <w:r>
        <w:rPr>
          <w:rFonts w:hint="eastAsia" w:ascii="宋体" w:hAnsi="宋体" w:cs="宋体"/>
          <w:sz w:val="24"/>
          <w:lang w:eastAsia="zh-CN"/>
        </w:rPr>
        <w:t>。</w:t>
      </w:r>
    </w:p>
    <w:p w14:paraId="10ACB2B8">
      <w:pPr>
        <w:spacing w:line="360" w:lineRule="auto"/>
        <w:ind w:firstLine="482" w:firstLineChars="200"/>
        <w:rPr>
          <w:rFonts w:hint="eastAsia" w:ascii="宋体" w:hAnsi="宋体" w:cs="宋体"/>
          <w:b/>
          <w:bCs/>
          <w:sz w:val="24"/>
        </w:rPr>
      </w:pPr>
      <w:r>
        <w:rPr>
          <w:rFonts w:hint="eastAsia" w:ascii="宋体" w:hAnsi="宋体" w:cs="宋体"/>
          <w:b/>
          <w:bCs/>
          <w:sz w:val="24"/>
        </w:rPr>
        <w:t>四、质量保证、售后服务要求</w:t>
      </w:r>
    </w:p>
    <w:p w14:paraId="43AC07C6">
      <w:pPr>
        <w:spacing w:line="360" w:lineRule="auto"/>
        <w:ind w:firstLine="480" w:firstLineChars="200"/>
        <w:rPr>
          <w:rFonts w:hint="eastAsia" w:ascii="宋体" w:hAnsi="宋体" w:cs="宋体"/>
          <w:sz w:val="24"/>
        </w:rPr>
      </w:pPr>
      <w:r>
        <w:rPr>
          <w:rFonts w:hint="eastAsia" w:ascii="宋体" w:hAnsi="宋体" w:cs="宋体"/>
          <w:sz w:val="24"/>
        </w:rPr>
        <w:t>1、乙方的产品质量应当符合国家行业规定的标准。</w:t>
      </w:r>
    </w:p>
    <w:p w14:paraId="02D119CB">
      <w:pPr>
        <w:spacing w:line="360" w:lineRule="auto"/>
        <w:ind w:firstLine="480" w:firstLineChars="200"/>
        <w:rPr>
          <w:rFonts w:ascii="宋体" w:hAnsi="宋体" w:cs="宋体"/>
          <w:sz w:val="24"/>
        </w:rPr>
      </w:pPr>
      <w:r>
        <w:rPr>
          <w:rFonts w:hint="eastAsia" w:ascii="宋体" w:hAnsi="宋体" w:cs="宋体"/>
          <w:sz w:val="24"/>
        </w:rPr>
        <w:t>2、本项目质保期为</w:t>
      </w:r>
      <w:r>
        <w:rPr>
          <w:rFonts w:hint="eastAsia" w:ascii="宋体" w:hAnsi="宋体" w:cs="宋体"/>
          <w:sz w:val="24"/>
          <w:u w:val="single"/>
        </w:rPr>
        <w:t>3</w:t>
      </w:r>
      <w:r>
        <w:rPr>
          <w:rFonts w:hint="eastAsia" w:ascii="宋体" w:hAnsi="宋体" w:cs="宋体"/>
          <w:sz w:val="24"/>
        </w:rPr>
        <w:t>年，自安装、验收合格并正常使用之日起起算，质保期内乙方应提供免费保修服务，在质保期内出现的任何质量问题，由乙方派专业维修人员</w:t>
      </w:r>
      <w:r>
        <w:rPr>
          <w:rFonts w:hint="eastAsia" w:ascii="宋体" w:hAnsi="宋体" w:cs="宋体"/>
          <w:sz w:val="24"/>
          <w:lang w:val="en-US" w:eastAsia="zh-CN"/>
        </w:rPr>
        <w:t>于</w:t>
      </w:r>
      <w:r>
        <w:rPr>
          <w:rFonts w:hint="eastAsia" w:ascii="宋体" w:hAnsi="宋体" w:cs="宋体"/>
          <w:sz w:val="24"/>
        </w:rPr>
        <w:t>【</w:t>
      </w:r>
      <w:r>
        <w:rPr>
          <w:rFonts w:hint="eastAsia" w:ascii="宋体" w:hAnsi="宋体" w:cs="宋体"/>
          <w:sz w:val="24"/>
          <w:lang w:val="en-US" w:eastAsia="zh-CN"/>
        </w:rPr>
        <w:t>12</w:t>
      </w:r>
      <w:r>
        <w:rPr>
          <w:rFonts w:hint="eastAsia" w:ascii="宋体" w:hAnsi="宋体" w:cs="宋体"/>
          <w:sz w:val="24"/>
        </w:rPr>
        <w:t>】小时内赶赴现场进行免费维修。乙方超过【</w:t>
      </w:r>
      <w:r>
        <w:rPr>
          <w:rFonts w:hint="eastAsia" w:ascii="宋体" w:hAnsi="宋体" w:cs="宋体"/>
          <w:sz w:val="24"/>
          <w:lang w:val="en-US" w:eastAsia="zh-CN"/>
        </w:rPr>
        <w:t>24</w:t>
      </w:r>
      <w:r>
        <w:rPr>
          <w:rFonts w:hint="eastAsia" w:ascii="宋体" w:hAnsi="宋体" w:cs="宋体"/>
          <w:sz w:val="24"/>
        </w:rPr>
        <w:t>】小时未完成维修的，甲方有权委托第三方进行维修，所产生维修费用由乙方承担。</w:t>
      </w:r>
    </w:p>
    <w:p w14:paraId="36DE5AD3">
      <w:pPr>
        <w:spacing w:line="360" w:lineRule="auto"/>
        <w:ind w:firstLine="480" w:firstLineChars="200"/>
        <w:rPr>
          <w:rFonts w:hint="eastAsia" w:ascii="宋体" w:hAnsi="宋体" w:cs="宋体"/>
          <w:sz w:val="24"/>
        </w:rPr>
      </w:pPr>
      <w:r>
        <w:rPr>
          <w:rFonts w:hint="eastAsia" w:ascii="宋体" w:hAnsi="宋体" w:cs="宋体"/>
          <w:sz w:val="24"/>
        </w:rPr>
        <w:t xml:space="preserve">3、乙方必须具有完善的售后服务体系和专业的技术维修人员。     </w:t>
      </w:r>
    </w:p>
    <w:p w14:paraId="1E77933E">
      <w:pPr>
        <w:spacing w:line="360" w:lineRule="auto"/>
        <w:ind w:firstLine="480" w:firstLineChars="200"/>
        <w:rPr>
          <w:rFonts w:hint="eastAsia" w:ascii="宋体" w:hAnsi="宋体" w:cs="宋体"/>
          <w:sz w:val="24"/>
        </w:rPr>
      </w:pPr>
      <w:r>
        <w:rPr>
          <w:rFonts w:hint="eastAsia" w:ascii="宋体" w:hAnsi="宋体" w:cs="宋体"/>
          <w:sz w:val="24"/>
        </w:rPr>
        <w:t>4、质保期内，乙方应确保货物质量正常，不影响污水站正常运行。如发生货物质量问题，经过一次维修后仍达不到正常使用标准，乙方应负责调换部分或整个货物，保修、质保期作相应延长，同时乙方还应承担自货物出现故障之日起至货物再次正常运行使用之日期间给甲方造成的所有经济损失及由此带来的环保方面的处罚或其他相关罚单。若更换后产品还达不到合同约定标准，乙方应无条件给甲方继续免费更换，并加倍承担给甲方造成的所有经济损失及处罚；累计【</w:t>
      </w:r>
      <w:r>
        <w:rPr>
          <w:rFonts w:hint="eastAsia" w:ascii="宋体" w:hAnsi="宋体" w:cs="宋体"/>
          <w:sz w:val="24"/>
          <w:lang w:val="en-US" w:eastAsia="zh-CN"/>
        </w:rPr>
        <w:t>2</w:t>
      </w:r>
      <w:r>
        <w:rPr>
          <w:rFonts w:hint="eastAsia" w:ascii="宋体" w:hAnsi="宋体" w:cs="宋体"/>
          <w:sz w:val="24"/>
        </w:rPr>
        <w:t>】次维修更换后仍无法正常使用的，视为乙方根本违约，甲方有权单方解除合同，并要求乙方承担合同总价款30%的违约金，违约金不足以弥补损失的，由乙方另行支付。</w:t>
      </w:r>
    </w:p>
    <w:p w14:paraId="6CF136B9">
      <w:pPr>
        <w:spacing w:line="360" w:lineRule="auto"/>
        <w:ind w:firstLine="480" w:firstLineChars="200"/>
        <w:rPr>
          <w:rFonts w:hint="eastAsia" w:ascii="宋体" w:hAnsi="宋体" w:cs="宋体"/>
          <w:sz w:val="24"/>
        </w:rPr>
      </w:pPr>
      <w:r>
        <w:rPr>
          <w:rFonts w:hint="eastAsia" w:ascii="宋体" w:hAnsi="宋体" w:cs="宋体"/>
          <w:sz w:val="24"/>
        </w:rPr>
        <w:t>5、如因产品本身的隐蔽瑕疵而出现的质量问题，乙方应全面负责维修调试或更新更换，由此产生的全部费用由乙方承担。</w:t>
      </w:r>
    </w:p>
    <w:p w14:paraId="4D11602B">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6、质保期内要求：</w:t>
      </w:r>
    </w:p>
    <w:p w14:paraId="01006521">
      <w:pPr>
        <w:spacing w:line="360" w:lineRule="auto"/>
        <w:ind w:firstLine="480" w:firstLineChars="200"/>
        <w:rPr>
          <w:rFonts w:hint="eastAsia" w:ascii="宋体" w:hAnsi="宋体" w:cs="宋体"/>
          <w:bCs/>
          <w:sz w:val="24"/>
        </w:rPr>
      </w:pPr>
      <w:r>
        <w:rPr>
          <w:rFonts w:hint="eastAsia" w:ascii="宋体" w:hAnsi="宋体" w:cs="宋体"/>
          <w:bCs/>
          <w:sz w:val="24"/>
        </w:rPr>
        <w:t>（1）乙方提供的产品质量应当符合国家行业规定的标准，并无任何瑕疵；乙方应按配置清单要求提供原装全新货物，对该产品实行三包（即包修、包退、包换）。</w:t>
      </w:r>
    </w:p>
    <w:p w14:paraId="7D4EFD8F">
      <w:pPr>
        <w:spacing w:line="360" w:lineRule="auto"/>
        <w:ind w:firstLine="480" w:firstLineChars="200"/>
        <w:rPr>
          <w:rFonts w:ascii="宋体" w:hAnsi="宋体" w:cs="宋体"/>
          <w:bCs/>
          <w:sz w:val="24"/>
        </w:rPr>
      </w:pPr>
      <w:r>
        <w:rPr>
          <w:rFonts w:hint="eastAsia" w:ascii="宋体" w:hAnsi="宋体" w:cs="宋体"/>
          <w:bCs/>
          <w:sz w:val="24"/>
        </w:rPr>
        <w:t>（2）如交付型号、规格不符合同约定的，由乙方负责在【</w:t>
      </w:r>
      <w:r>
        <w:rPr>
          <w:rFonts w:hint="eastAsia" w:ascii="宋体" w:hAnsi="宋体" w:cs="宋体"/>
          <w:bCs/>
          <w:sz w:val="24"/>
          <w:lang w:val="en-US" w:eastAsia="zh-CN"/>
        </w:rPr>
        <w:t>2</w:t>
      </w:r>
      <w:r>
        <w:rPr>
          <w:rFonts w:hint="eastAsia" w:ascii="宋体" w:hAnsi="宋体" w:cs="宋体"/>
          <w:bCs/>
          <w:sz w:val="24"/>
        </w:rPr>
        <w:t>】日内退换，由此产生的一切费用及给甲方造成的相关损失由乙方承担全部赔偿责任。累计退换【</w:t>
      </w:r>
      <w:r>
        <w:rPr>
          <w:rFonts w:hint="eastAsia" w:ascii="宋体" w:hAnsi="宋体" w:cs="宋体"/>
          <w:bCs/>
          <w:sz w:val="24"/>
          <w:lang w:val="en-US" w:eastAsia="zh-CN"/>
        </w:rPr>
        <w:t>2</w:t>
      </w:r>
      <w:r>
        <w:rPr>
          <w:rFonts w:hint="eastAsia" w:ascii="宋体" w:hAnsi="宋体" w:cs="宋体"/>
          <w:bCs/>
          <w:sz w:val="24"/>
        </w:rPr>
        <w:t>】次后仍不符合合同约定，视为乙方根本违约，甲方有权单方解除合同，并要求乙方承担合同总金额30%的违约金，违约金不足以弥补损失的，由乙方另行支付。</w:t>
      </w:r>
    </w:p>
    <w:p w14:paraId="3B95F056">
      <w:pPr>
        <w:spacing w:line="360" w:lineRule="auto"/>
        <w:ind w:firstLine="480" w:firstLineChars="200"/>
        <w:rPr>
          <w:rFonts w:hint="eastAsia" w:ascii="宋体" w:hAnsi="宋体" w:cs="宋体"/>
          <w:bCs/>
          <w:sz w:val="24"/>
        </w:rPr>
      </w:pPr>
      <w:r>
        <w:rPr>
          <w:rFonts w:hint="eastAsia" w:ascii="宋体" w:hAnsi="宋体" w:cs="宋体"/>
          <w:bCs/>
          <w:sz w:val="24"/>
        </w:rPr>
        <w:t>（3）如因该产品本身的质量原因在使用过程中造成环保部门的处罚，由乙方全部承担，若造成甲方被处罚的，甲方有权向乙方追偿。</w:t>
      </w:r>
    </w:p>
    <w:p w14:paraId="6C7035C8">
      <w:pPr>
        <w:spacing w:line="360" w:lineRule="auto"/>
        <w:ind w:firstLine="480" w:firstLineChars="200"/>
        <w:rPr>
          <w:rFonts w:hint="eastAsia" w:ascii="宋体" w:hAnsi="宋体" w:cs="宋体"/>
          <w:bCs/>
          <w:sz w:val="24"/>
        </w:rPr>
      </w:pPr>
      <w:r>
        <w:rPr>
          <w:rFonts w:hint="eastAsia" w:ascii="宋体" w:hAnsi="宋体" w:cs="宋体"/>
          <w:bCs/>
          <w:sz w:val="24"/>
        </w:rPr>
        <w:t>（4）保修、质保期内，维修费用、乙方维修人员的差旅费及其他相关费用均由乙方自行承担。</w:t>
      </w:r>
    </w:p>
    <w:p w14:paraId="724D6169">
      <w:pPr>
        <w:spacing w:line="360" w:lineRule="auto"/>
        <w:ind w:firstLine="482" w:firstLineChars="200"/>
        <w:rPr>
          <w:rFonts w:hint="eastAsia" w:ascii="宋体" w:hAnsi="宋体" w:cs="宋体"/>
          <w:b/>
          <w:bCs/>
          <w:sz w:val="24"/>
        </w:rPr>
      </w:pPr>
      <w:r>
        <w:rPr>
          <w:rFonts w:hint="eastAsia" w:ascii="宋体" w:hAnsi="宋体" w:cs="宋体"/>
          <w:b/>
          <w:bCs/>
          <w:sz w:val="24"/>
        </w:rPr>
        <w:t>五、验收标准</w:t>
      </w:r>
    </w:p>
    <w:p w14:paraId="6E38EC0D">
      <w:pPr>
        <w:spacing w:line="360" w:lineRule="auto"/>
        <w:ind w:firstLine="480" w:firstLineChars="200"/>
        <w:rPr>
          <w:rFonts w:ascii="宋体" w:hAnsi="宋体" w:cs="宋体"/>
          <w:sz w:val="24"/>
        </w:rPr>
      </w:pPr>
      <w:r>
        <w:rPr>
          <w:rFonts w:hint="eastAsia" w:ascii="宋体" w:hAnsi="宋体" w:cs="宋体"/>
          <w:sz w:val="24"/>
        </w:rPr>
        <w:t>本项目进行时，为不影响甲方污水处理站正常进行，因此需交替进行更换及验收。每阶段安装调试完成后，乙方应书面通知甲方进行验收。双方按实际安装进行现场验收，验收完成确认无误后，共同填写验收单，方可进行下一项工作。整体安装调试完成后进行试运行，乙方对排放污水进行检测，并出具检测报告，</w:t>
      </w:r>
      <w:r>
        <w:rPr>
          <w:rFonts w:hint="eastAsia" w:ascii="宋体" w:hAnsi="宋体" w:cs="宋体"/>
          <w:sz w:val="24"/>
          <w:lang w:val="en-US" w:eastAsia="zh-CN"/>
        </w:rPr>
        <w:t>检测污染物因子按照甲方排污许可证污水监测标准进行，</w:t>
      </w:r>
      <w:r>
        <w:rPr>
          <w:rFonts w:hint="eastAsia" w:ascii="宋体" w:hAnsi="宋体" w:cs="宋体"/>
          <w:sz w:val="24"/>
        </w:rPr>
        <w:t>确保污水站污水排放指标应达到《医疗机构水污染物排放标准GB18466-2005》，如未达标，进行调试直至达标排放标准；累计【</w:t>
      </w:r>
      <w:r>
        <w:rPr>
          <w:rFonts w:hint="eastAsia" w:ascii="宋体" w:hAnsi="宋体" w:cs="宋体"/>
          <w:sz w:val="24"/>
          <w:lang w:val="en-US" w:eastAsia="zh-CN"/>
        </w:rPr>
        <w:t>2</w:t>
      </w:r>
      <w:r>
        <w:rPr>
          <w:rFonts w:hint="eastAsia" w:ascii="宋体" w:hAnsi="宋体" w:cs="宋体"/>
          <w:sz w:val="24"/>
        </w:rPr>
        <w:t>】次检测仍不能达到排放标准的，视为乙方根本违约，甲方有权单方解除合同，解除合同的通知送达乙方之日视为合同已解除，乙方应退还甲方支付的全部价款，并承担已支付金额30%的违约金，违约金不足以弥补损失的，由乙方另行支付。</w:t>
      </w:r>
    </w:p>
    <w:p w14:paraId="4951BD3E">
      <w:pPr>
        <w:spacing w:line="360" w:lineRule="auto"/>
        <w:ind w:firstLine="482" w:firstLineChars="200"/>
        <w:rPr>
          <w:rFonts w:ascii="宋体" w:hAnsi="宋体" w:cs="宋体"/>
          <w:b/>
          <w:bCs/>
          <w:sz w:val="24"/>
        </w:rPr>
      </w:pPr>
      <w:r>
        <w:rPr>
          <w:rFonts w:hint="eastAsia" w:ascii="宋体" w:hAnsi="宋体" w:cs="宋体"/>
          <w:b/>
          <w:bCs/>
          <w:sz w:val="24"/>
        </w:rPr>
        <w:t>六、其他要求</w:t>
      </w:r>
    </w:p>
    <w:p w14:paraId="5B876939">
      <w:pPr>
        <w:spacing w:line="360" w:lineRule="auto"/>
        <w:ind w:firstLine="480" w:firstLineChars="200"/>
        <w:rPr>
          <w:rFonts w:hint="eastAsia" w:ascii="宋体" w:hAnsi="宋体" w:cs="宋体"/>
          <w:bCs/>
          <w:sz w:val="24"/>
        </w:rPr>
      </w:pPr>
      <w:r>
        <w:rPr>
          <w:rFonts w:hint="eastAsia" w:ascii="宋体" w:hAnsi="宋体" w:cs="宋体"/>
          <w:sz w:val="24"/>
        </w:rPr>
        <w:t>1、</w:t>
      </w:r>
      <w:r>
        <w:rPr>
          <w:rFonts w:hint="eastAsia" w:ascii="宋体" w:hAnsi="宋体" w:cs="宋体"/>
          <w:bCs/>
          <w:sz w:val="24"/>
        </w:rPr>
        <w:t>乙方人员工进入甲方工作期间，必须遵守国家法律法规和甲方的规章制度，切实履行相关的工作制度和职责。</w:t>
      </w:r>
    </w:p>
    <w:p w14:paraId="35ECFF57">
      <w:pPr>
        <w:spacing w:line="360" w:lineRule="auto"/>
        <w:ind w:firstLine="480" w:firstLineChars="200"/>
        <w:rPr>
          <w:rFonts w:ascii="宋体" w:hAnsi="宋体" w:cs="宋体"/>
          <w:bCs/>
          <w:sz w:val="24"/>
        </w:rPr>
      </w:pPr>
      <w:r>
        <w:rPr>
          <w:rFonts w:hint="eastAsia" w:ascii="宋体" w:hAnsi="宋体" w:cs="宋体"/>
          <w:sz w:val="24"/>
        </w:rPr>
        <w:t>2、本项目涉及有限空间作业，乙方必须派有现场负责人员1人，其他人员必须持证上岗，严格按照有限空间操作规程工作，在污水处理系统维修、更换工作中，安全防范措施到位，具备应急预案及应急物资</w:t>
      </w:r>
      <w:r>
        <w:rPr>
          <w:rFonts w:hint="eastAsia" w:ascii="宋体" w:hAnsi="宋体" w:cs="宋体"/>
          <w:bCs/>
          <w:sz w:val="24"/>
        </w:rPr>
        <w:t>。甲方支付的合同价款中已包含安全措施费，乙方工作人员在进行施工过程中应佩戴安全装置，在施工过程中</w:t>
      </w:r>
      <w:r>
        <w:rPr>
          <w:rFonts w:hint="eastAsia" w:ascii="宋体" w:hAnsi="宋体" w:cs="宋体"/>
          <w:sz w:val="24"/>
        </w:rPr>
        <w:t>若发生任何人身或财产损失，由乙方全权负责，与甲方无关。乙方应将派至甲方处的工作人员信息（包括上岗证等资格证件复印件）与应急预案交由甲方备案。</w:t>
      </w:r>
    </w:p>
    <w:p w14:paraId="3031E61E">
      <w:pPr>
        <w:spacing w:line="360" w:lineRule="auto"/>
        <w:ind w:firstLine="480" w:firstLineChars="200"/>
        <w:rPr>
          <w:rFonts w:hint="eastAsia" w:ascii="宋体" w:hAnsi="宋体" w:cs="宋体"/>
          <w:sz w:val="24"/>
        </w:rPr>
      </w:pPr>
      <w:r>
        <w:rPr>
          <w:rFonts w:hint="eastAsia" w:ascii="宋体" w:hAnsi="宋体" w:cs="宋体"/>
          <w:sz w:val="24"/>
        </w:rPr>
        <w:t>3、乙方应负责安装现场所产生的垃圾及拆卸的支架、斜管的处置，所有池内废弃污泥及填料按甲方要求放至指定地点，由甲方统一处理。</w:t>
      </w:r>
    </w:p>
    <w:p w14:paraId="27633C60">
      <w:pPr>
        <w:spacing w:line="360" w:lineRule="auto"/>
        <w:ind w:firstLine="480" w:firstLineChars="200"/>
        <w:rPr>
          <w:rFonts w:hint="eastAsia" w:ascii="宋体" w:hAnsi="宋体" w:cs="宋体"/>
          <w:sz w:val="24"/>
        </w:rPr>
      </w:pPr>
      <w:r>
        <w:rPr>
          <w:rFonts w:hint="eastAsia" w:ascii="宋体" w:hAnsi="宋体" w:cs="宋体"/>
          <w:sz w:val="24"/>
        </w:rPr>
        <w:t>4、本项目在正式开始前，乙方应向甲方出具该项目填料、支架斜管等更换</w:t>
      </w:r>
      <w:r>
        <w:rPr>
          <w:rFonts w:hint="eastAsia" w:ascii="宋体" w:hAnsi="宋体" w:cs="宋体"/>
          <w:sz w:val="24"/>
          <w:lang w:eastAsia="zh-CN"/>
        </w:rPr>
        <w:t>、</w:t>
      </w:r>
      <w:r>
        <w:rPr>
          <w:rFonts w:hint="eastAsia" w:ascii="宋体" w:hAnsi="宋体" w:cs="宋体"/>
          <w:sz w:val="24"/>
          <w:lang w:val="en-US" w:eastAsia="zh-CN"/>
        </w:rPr>
        <w:t>安装工作计划，</w:t>
      </w:r>
      <w:r>
        <w:rPr>
          <w:rFonts w:hint="eastAsia" w:ascii="宋体" w:hAnsi="宋体" w:cs="宋体"/>
          <w:sz w:val="24"/>
        </w:rPr>
        <w:t>甲方污水处理流程及突发事件应急预案盖章版，并协助甲方对甲方污水情况向当地环保部门进行备案。</w:t>
      </w:r>
    </w:p>
    <w:p w14:paraId="744C79C9">
      <w:pPr>
        <w:spacing w:line="360" w:lineRule="auto"/>
        <w:ind w:firstLine="480" w:firstLineChars="200"/>
        <w:rPr>
          <w:rFonts w:ascii="宋体" w:hAnsi="宋体" w:cs="宋体"/>
          <w:sz w:val="24"/>
        </w:rPr>
      </w:pPr>
      <w:r>
        <w:rPr>
          <w:rFonts w:hint="eastAsia" w:ascii="宋体" w:hAnsi="宋体" w:cs="宋体"/>
          <w:sz w:val="24"/>
        </w:rPr>
        <w:t>5、本项目进行期间，乙方应保障甲方污水处理的正常运行，不得影响甲方正常诊疗及就诊环境，否则甲方有权要求乙方承担合同总金额30%的违约金，违约金不足以弥补损失的，由乙方另行支付；若污水处理站有任何突发情况，应及时向甲方进行报备并于【</w:t>
      </w:r>
      <w:r>
        <w:rPr>
          <w:rFonts w:hint="eastAsia" w:ascii="宋体" w:hAnsi="宋体" w:cs="宋体"/>
          <w:sz w:val="24"/>
          <w:lang w:val="en-US" w:eastAsia="zh-CN"/>
        </w:rPr>
        <w:t>12</w:t>
      </w:r>
      <w:r>
        <w:rPr>
          <w:rFonts w:hint="eastAsia" w:ascii="宋体" w:hAnsi="宋体" w:cs="宋体"/>
          <w:sz w:val="24"/>
        </w:rPr>
        <w:t>】小时内采取安全有效措施，确保甲方污水排放达到医疗机构水污染物排放标准GB18466-2005；乙方于【</w:t>
      </w:r>
      <w:r>
        <w:rPr>
          <w:rFonts w:hint="eastAsia" w:ascii="宋体" w:hAnsi="宋体" w:cs="宋体"/>
          <w:sz w:val="24"/>
          <w:lang w:val="en-US" w:eastAsia="zh-CN"/>
        </w:rPr>
        <w:t>12</w:t>
      </w:r>
      <w:r>
        <w:rPr>
          <w:rFonts w:hint="eastAsia" w:ascii="宋体" w:hAnsi="宋体" w:cs="宋体"/>
          <w:sz w:val="24"/>
        </w:rPr>
        <w:t>】小时内不能解决该突发情况的，甲方有权委托第三方进行处理，由此产生的费用由乙方承担。若发现有任何不达标行为，由此造成环保部门对甲方的所有处罚，乙方应负全部责任。</w:t>
      </w:r>
    </w:p>
    <w:p w14:paraId="2ADA904C">
      <w:pPr>
        <w:spacing w:line="360" w:lineRule="auto"/>
        <w:ind w:firstLine="480" w:firstLineChars="200"/>
        <w:rPr>
          <w:rFonts w:hint="eastAsia" w:ascii="宋体" w:hAnsi="宋体" w:cs="宋体"/>
          <w:b/>
          <w:sz w:val="24"/>
        </w:rPr>
      </w:pPr>
      <w:r>
        <w:rPr>
          <w:rFonts w:hint="eastAsia" w:ascii="宋体" w:hAnsi="宋体" w:cs="宋体"/>
          <w:sz w:val="24"/>
        </w:rPr>
        <w:t>6、乙方及其工作人员在履行本合同义务过程中，造成其自身或甲方工作人员或任何第三人人身、财产遭受损伤的，均由乙方承担一切赔偿责任，与甲方无关；给甲方造成损失的，甲方有权要求乙方赔偿；甲方因此遭遇索赔的，有权向乙方追偿。</w:t>
      </w:r>
    </w:p>
    <w:p w14:paraId="20F25A4A">
      <w:pPr>
        <w:spacing w:line="360" w:lineRule="auto"/>
        <w:ind w:firstLine="482" w:firstLineChars="200"/>
        <w:rPr>
          <w:rFonts w:hint="eastAsia" w:ascii="宋体" w:hAnsi="宋体" w:cs="宋体"/>
          <w:b/>
          <w:sz w:val="24"/>
        </w:rPr>
      </w:pPr>
      <w:r>
        <w:rPr>
          <w:rFonts w:hint="eastAsia" w:ascii="宋体" w:hAnsi="宋体" w:cs="宋体"/>
          <w:b/>
          <w:sz w:val="24"/>
          <w:lang w:val="en-US" w:eastAsia="zh-CN"/>
        </w:rPr>
        <w:t>七</w:t>
      </w:r>
      <w:r>
        <w:rPr>
          <w:rFonts w:hint="eastAsia" w:ascii="宋体" w:hAnsi="宋体" w:cs="宋体"/>
          <w:b/>
          <w:sz w:val="24"/>
        </w:rPr>
        <w:t>、违约责任</w:t>
      </w:r>
    </w:p>
    <w:p w14:paraId="22F917F4">
      <w:pPr>
        <w:spacing w:line="360" w:lineRule="auto"/>
        <w:ind w:firstLine="480" w:firstLineChars="200"/>
        <w:rPr>
          <w:rFonts w:hint="eastAsia" w:ascii="宋体" w:hAnsi="宋体" w:cs="宋体"/>
          <w:bCs/>
          <w:sz w:val="24"/>
        </w:rPr>
      </w:pPr>
      <w:r>
        <w:rPr>
          <w:rFonts w:hint="eastAsia" w:ascii="宋体" w:hAnsi="宋体" w:cs="宋体"/>
          <w:bCs/>
          <w:sz w:val="24"/>
        </w:rPr>
        <w:t>1、如乙方逾期交货、安装，每逾期一日，乙方应向甲方支付逾期交付货物货款金额1%的违约金，逾期超过十日，视为乙方根本违约，甲方有权单方解除本合同，合同自甲方书面解除通知送达乙方之日起解除，乙方除应在收到通知后的【10】日内退还甲方已支付的全部款项外，还应按已支付货款的30%承担违约金。如该违约责任不足以弥补甲方损失，乙方还应予以补足。</w:t>
      </w:r>
    </w:p>
    <w:p w14:paraId="06D21F63">
      <w:pPr>
        <w:spacing w:line="360" w:lineRule="auto"/>
        <w:ind w:firstLine="480" w:firstLineChars="200"/>
        <w:rPr>
          <w:rFonts w:hint="eastAsia" w:ascii="宋体" w:hAnsi="宋体" w:cs="宋体"/>
          <w:bCs/>
          <w:sz w:val="24"/>
        </w:rPr>
      </w:pPr>
      <w:r>
        <w:rPr>
          <w:rFonts w:hint="eastAsia" w:ascii="宋体" w:hAnsi="宋体" w:cs="宋体"/>
          <w:bCs/>
          <w:sz w:val="24"/>
        </w:rPr>
        <w:t>2、乙方所供的货物不符合招、投标文件及合同约定的技术及质量标准的，在甲方要求的期限内乙方必须重新按约定供货，并自行承担由此产生的各项费用；如乙方不能重新提供符合相关技术及质量标准的货物，视为乙方根本违约，甲方有权单方解除本合同，合同自甲方书面解除通知送达乙方之日起解除，乙方除应在收到解除通知后的【10】日内退还甲方已支付的全部款项外，还应按已支付货款的30%承担违约金。如该违约金不足以弥补甲方损失，乙方还应予以补足。</w:t>
      </w:r>
    </w:p>
    <w:p w14:paraId="4E71C1C3">
      <w:pPr>
        <w:spacing w:line="360" w:lineRule="auto"/>
        <w:ind w:firstLine="480" w:firstLineChars="200"/>
        <w:rPr>
          <w:rFonts w:hint="eastAsia" w:ascii="宋体" w:hAnsi="宋体" w:cs="宋体"/>
          <w:sz w:val="24"/>
        </w:rPr>
      </w:pPr>
      <w:r>
        <w:rPr>
          <w:rFonts w:hint="eastAsia" w:ascii="宋体" w:hAnsi="宋体" w:cs="宋体"/>
          <w:bCs/>
          <w:sz w:val="24"/>
        </w:rPr>
        <w:t>3</w:t>
      </w:r>
      <w:r>
        <w:rPr>
          <w:rFonts w:hint="eastAsia" w:ascii="宋体" w:hAnsi="宋体" w:cs="宋体"/>
          <w:sz w:val="24"/>
        </w:rPr>
        <w:t>、本项目涉及有限空间作业，乙方必须派有现场负责人员1人，其他人员必须持证上岗，严格按照有限空间操作规程工作，若发生任何意外事故所造成的人身或财产损失，由乙方全权负责，与甲方无关。</w:t>
      </w:r>
    </w:p>
    <w:p w14:paraId="2C2C2CBF">
      <w:pPr>
        <w:spacing w:line="360" w:lineRule="auto"/>
        <w:ind w:firstLine="480" w:firstLineChars="200"/>
        <w:rPr>
          <w:rFonts w:hint="eastAsia" w:ascii="宋体" w:hAnsi="宋体" w:cs="宋体"/>
          <w:sz w:val="24"/>
        </w:rPr>
      </w:pPr>
      <w:r>
        <w:rPr>
          <w:rFonts w:hint="eastAsia" w:ascii="宋体" w:hAnsi="宋体" w:cs="宋体"/>
          <w:sz w:val="24"/>
        </w:rPr>
        <w:t>4、安装期间，乙方应保障甲方污水处理的正常运行，不得影响甲方正常诊疗及就诊环境，若污水处理站有任何突发情况，应及时向甲方进行报备并采取安全有效措施，确保甲方污水排放达到医疗机构水污染物排放标准GB18466-2005。若发现有任何不达标行为，由此造成环保部门对甲方的所有处罚，乙方应负全部责任。</w:t>
      </w:r>
    </w:p>
    <w:p w14:paraId="7A5E0D8E">
      <w:pPr>
        <w:spacing w:line="360" w:lineRule="auto"/>
        <w:ind w:firstLine="480" w:firstLineChars="200"/>
        <w:rPr>
          <w:rFonts w:hint="eastAsia" w:ascii="宋体" w:hAnsi="宋体" w:cs="宋体"/>
          <w:sz w:val="24"/>
        </w:rPr>
      </w:pPr>
      <w:r>
        <w:rPr>
          <w:rFonts w:hint="eastAsia" w:ascii="宋体" w:hAnsi="宋体" w:cs="宋体"/>
          <w:sz w:val="24"/>
        </w:rPr>
        <w:t>5、乙方及其工作人员在履行本合同义务过程中，造成其自身或甲方工作人员或任何第三人人身、财产遭受损伤的，均由乙方承担一切赔偿责任，与甲方无关；给甲方造成损失的，甲方有权要求乙方赔偿；甲方因此遭遇索赔的，有权向乙方追偿。</w:t>
      </w:r>
    </w:p>
    <w:p w14:paraId="00884332">
      <w:pPr>
        <w:spacing w:line="480" w:lineRule="exact"/>
        <w:ind w:firstLine="480" w:firstLineChars="200"/>
        <w:rPr>
          <w:rFonts w:hint="eastAsia" w:ascii="宋体" w:hAnsi="宋体" w:cs="宋体"/>
          <w:sz w:val="24"/>
        </w:rPr>
      </w:pP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项目验收后，乙方提出付款申请，甲方应当在乙方开具发票后10个工作日内，</w:t>
      </w:r>
      <w:r>
        <w:rPr>
          <w:rFonts w:hint="eastAsia" w:ascii="宋体" w:hAnsi="宋体" w:cs="宋体"/>
          <w:color w:val="000000"/>
          <w:sz w:val="24"/>
          <w:szCs w:val="24"/>
          <w:highlight w:val="none"/>
        </w:rPr>
        <w:t>向乙方支付货款，逾期付款的应向乙方支付迟延履行的违约金，每日违约金按逾期付款金额的万分之一计算。</w:t>
      </w:r>
    </w:p>
    <w:p w14:paraId="2041BAD2">
      <w:pPr>
        <w:spacing w:line="360" w:lineRule="auto"/>
        <w:ind w:firstLine="480" w:firstLineChars="200"/>
        <w:rPr>
          <w:rFonts w:hint="eastAsia" w:ascii="宋体" w:hAnsi="宋体" w:cs="宋体"/>
          <w:bCs/>
          <w:sz w:val="24"/>
        </w:rPr>
      </w:pPr>
      <w:r>
        <w:rPr>
          <w:rFonts w:hint="eastAsia" w:ascii="宋体" w:hAnsi="宋体" w:cs="宋体"/>
          <w:bCs/>
          <w:sz w:val="24"/>
          <w:lang w:val="en-US" w:eastAsia="zh-CN"/>
        </w:rPr>
        <w:t>7</w:t>
      </w:r>
      <w:r>
        <w:rPr>
          <w:rFonts w:hint="eastAsia" w:ascii="宋体" w:hAnsi="宋体" w:cs="宋体"/>
          <w:bCs/>
          <w:sz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5F385BC1">
      <w:pPr>
        <w:spacing w:line="480" w:lineRule="exact"/>
        <w:ind w:firstLine="472" w:firstLineChars="196"/>
        <w:rPr>
          <w:rFonts w:hint="eastAsia" w:ascii="宋体" w:hAnsi="宋体" w:cs="宋体"/>
          <w:b/>
          <w:color w:val="000000"/>
          <w:sz w:val="24"/>
        </w:rPr>
      </w:pPr>
      <w:r>
        <w:rPr>
          <w:rFonts w:hint="eastAsia" w:ascii="宋体" w:hAnsi="宋体" w:cs="宋体"/>
          <w:b/>
          <w:color w:val="000000"/>
          <w:sz w:val="24"/>
          <w:lang w:val="en-US" w:eastAsia="zh-CN"/>
        </w:rPr>
        <w:t>八</w:t>
      </w:r>
      <w:r>
        <w:rPr>
          <w:rFonts w:hint="eastAsia" w:ascii="宋体" w:hAnsi="宋体" w:cs="宋体"/>
          <w:b/>
          <w:color w:val="000000"/>
          <w:sz w:val="24"/>
        </w:rPr>
        <w:t>、纠纷的解决：</w:t>
      </w:r>
    </w:p>
    <w:p w14:paraId="48BBE426">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本合同在履行过程中发生的任何争议，应由甲、乙双方友好协商解决，协商不成的，甲乙双方任意一方有权向甲方所在地人民法院提起诉讼。</w:t>
      </w:r>
    </w:p>
    <w:p w14:paraId="189B363D">
      <w:pPr>
        <w:spacing w:line="480" w:lineRule="exact"/>
        <w:ind w:firstLine="482" w:firstLineChars="200"/>
        <w:rPr>
          <w:rFonts w:hint="eastAsia" w:ascii="宋体" w:hAnsi="宋体" w:cs="宋体"/>
          <w:color w:val="000000"/>
          <w:sz w:val="24"/>
        </w:rPr>
      </w:pPr>
      <w:r>
        <w:rPr>
          <w:rFonts w:hint="eastAsia" w:ascii="宋体" w:hAnsi="宋体" w:cs="宋体"/>
          <w:b/>
          <w:color w:val="000000"/>
          <w:sz w:val="24"/>
          <w:lang w:val="en-US" w:eastAsia="zh-CN"/>
        </w:rPr>
        <w:t>九</w:t>
      </w:r>
      <w:r>
        <w:rPr>
          <w:rFonts w:hint="eastAsia" w:ascii="宋体" w:hAnsi="宋体" w:cs="宋体"/>
          <w:b/>
          <w:color w:val="000000"/>
          <w:sz w:val="24"/>
        </w:rPr>
        <w:t>、</w:t>
      </w:r>
      <w:r>
        <w:rPr>
          <w:rFonts w:hint="eastAsia" w:ascii="宋体" w:hAnsi="宋体" w:cs="宋体"/>
          <w:color w:val="000000"/>
          <w:sz w:val="24"/>
        </w:rPr>
        <w:t>本合同一式肆份，甲方执贰份，乙方执贰份，均具有同等法律效力。</w:t>
      </w:r>
    </w:p>
    <w:p w14:paraId="7562EA11">
      <w:pPr>
        <w:spacing w:line="480" w:lineRule="exact"/>
        <w:ind w:firstLine="472" w:firstLineChars="196"/>
        <w:rPr>
          <w:rFonts w:hint="eastAsia" w:ascii="宋体" w:hAnsi="宋体" w:cs="宋体"/>
          <w:color w:val="000000"/>
          <w:sz w:val="24"/>
        </w:rPr>
      </w:pPr>
      <w:r>
        <w:rPr>
          <w:rFonts w:hint="eastAsia" w:ascii="宋体" w:hAnsi="宋体" w:cs="宋体"/>
          <w:b/>
          <w:color w:val="000000"/>
          <w:sz w:val="24"/>
        </w:rPr>
        <w:t>十、</w:t>
      </w:r>
      <w:r>
        <w:rPr>
          <w:rFonts w:hint="eastAsia" w:ascii="宋体" w:hAnsi="宋体" w:cs="宋体"/>
          <w:color w:val="000000"/>
          <w:sz w:val="24"/>
        </w:rPr>
        <w:t>本合同未尽事宜，由甲、乙双方另行签订补充协议，补充协议作为本合同附件，与本合同具有同等法律效力。</w:t>
      </w:r>
    </w:p>
    <w:p w14:paraId="3889ADCE">
      <w:pPr>
        <w:spacing w:line="480" w:lineRule="exact"/>
        <w:ind w:firstLine="472" w:firstLineChars="196"/>
        <w:rPr>
          <w:rFonts w:hint="eastAsia" w:ascii="宋体" w:hAnsi="宋体" w:cs="宋体"/>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一</w:t>
      </w:r>
      <w:r>
        <w:rPr>
          <w:rFonts w:hint="eastAsia" w:ascii="宋体" w:hAnsi="宋体" w:cs="宋体"/>
          <w:b/>
          <w:color w:val="000000"/>
          <w:sz w:val="24"/>
        </w:rPr>
        <w:t>、</w:t>
      </w:r>
      <w:r>
        <w:rPr>
          <w:rFonts w:hint="eastAsia" w:ascii="宋体" w:hAnsi="宋体" w:cs="宋体"/>
          <w:color w:val="000000"/>
          <w:sz w:val="24"/>
        </w:rPr>
        <w:t>本合同自甲、乙双方签字并加盖公章之日起生效。</w:t>
      </w:r>
    </w:p>
    <w:p w14:paraId="452C6354">
      <w:pPr>
        <w:pStyle w:val="21"/>
        <w:ind w:firstLine="241" w:firstLineChars="100"/>
        <w:rPr>
          <w:rFonts w:hint="eastAsia"/>
        </w:rPr>
      </w:pPr>
      <w:r>
        <w:rPr>
          <w:rFonts w:hint="eastAsia" w:ascii="宋体" w:hAnsi="宋体" w:cs="宋体"/>
          <w:b/>
          <w:color w:val="000000"/>
          <w:sz w:val="24"/>
        </w:rPr>
        <w:t>十</w:t>
      </w:r>
      <w:r>
        <w:rPr>
          <w:rFonts w:hint="eastAsia" w:ascii="宋体" w:hAnsi="宋体" w:cs="宋体"/>
          <w:b/>
          <w:color w:val="000000"/>
          <w:sz w:val="24"/>
          <w:lang w:val="en-US" w:eastAsia="zh-CN"/>
        </w:rPr>
        <w:t>二</w:t>
      </w:r>
      <w:r>
        <w:rPr>
          <w:rFonts w:hint="eastAsia" w:ascii="宋体" w:hAnsi="宋体" w:cs="宋体"/>
          <w:b/>
          <w:color w:val="000000"/>
          <w:sz w:val="24"/>
        </w:rPr>
        <w:t>、</w:t>
      </w:r>
      <w:r>
        <w:rPr>
          <w:rFonts w:hint="eastAsia" w:ascii="宋体" w:hAnsi="宋体" w:cs="宋体"/>
          <w:color w:val="000000"/>
          <w:sz w:val="24"/>
        </w:rPr>
        <w:t>本合同应当按照中华人民共和国的现行法律、法规进行解释。</w:t>
      </w:r>
    </w:p>
    <w:p w14:paraId="40F36066">
      <w:pPr>
        <w:spacing w:line="480" w:lineRule="exact"/>
        <w:ind w:firstLine="472" w:firstLineChars="196"/>
        <w:jc w:val="center"/>
        <w:rPr>
          <w:rFonts w:hint="eastAsia" w:ascii="宋体" w:hAnsi="宋体" w:cs="宋体"/>
          <w:b/>
          <w:color w:val="000000"/>
          <w:sz w:val="24"/>
        </w:rPr>
      </w:pPr>
      <w:r>
        <w:rPr>
          <w:rFonts w:hint="eastAsia" w:ascii="宋体" w:hAnsi="宋体" w:cs="宋体"/>
          <w:b/>
          <w:color w:val="000000"/>
          <w:sz w:val="24"/>
        </w:rPr>
        <w:t>（本页以下无正文）</w:t>
      </w:r>
    </w:p>
    <w:p w14:paraId="665EA72A">
      <w:pPr>
        <w:pStyle w:val="18"/>
        <w:snapToGrid w:val="0"/>
        <w:spacing w:before="0" w:beforeAutospacing="0" w:after="0" w:afterAutospacing="0" w:line="480" w:lineRule="exact"/>
        <w:rPr>
          <w:rFonts w:hint="eastAsia"/>
          <w:kern w:val="2"/>
        </w:rPr>
      </w:pPr>
    </w:p>
    <w:p w14:paraId="00C195A0">
      <w:pPr>
        <w:pStyle w:val="21"/>
        <w:spacing w:line="480" w:lineRule="exact"/>
        <w:ind w:left="0" w:firstLine="0" w:firstLineChars="0"/>
        <w:rPr>
          <w:rFonts w:hint="eastAsia" w:ascii="宋体" w:hAnsi="宋体" w:cs="宋体"/>
          <w:sz w:val="24"/>
        </w:rPr>
        <w:sectPr>
          <w:footerReference r:id="rId13" w:type="default"/>
          <w:pgSz w:w="11906" w:h="16838"/>
          <w:pgMar w:top="1440" w:right="1800" w:bottom="1402" w:left="1620" w:header="851" w:footer="992" w:gutter="0"/>
          <w:pgNumType w:start="1"/>
          <w:cols w:space="720" w:num="1"/>
          <w:docGrid w:type="lines" w:linePitch="312" w:charSpace="0"/>
        </w:sectPr>
      </w:pPr>
    </w:p>
    <w:p w14:paraId="0BC9CD74">
      <w:pPr>
        <w:spacing w:line="480" w:lineRule="exact"/>
        <w:rPr>
          <w:rFonts w:hint="eastAsia" w:ascii="宋体" w:hAnsi="宋体" w:cs="宋体"/>
          <w:color w:val="000000"/>
          <w:sz w:val="24"/>
        </w:rPr>
      </w:pPr>
      <w:r>
        <w:rPr>
          <w:rFonts w:hint="eastAsia" w:ascii="宋体" w:hAnsi="宋体" w:cs="宋体"/>
          <w:b/>
          <w:color w:val="000000"/>
          <w:sz w:val="24"/>
        </w:rPr>
        <w:t>甲方（盖章）：</w:t>
      </w:r>
      <w:r>
        <w:rPr>
          <w:rFonts w:hint="eastAsia" w:ascii="宋体" w:hAnsi="宋体" w:cs="宋体"/>
          <w:color w:val="000000"/>
          <w:sz w:val="24"/>
        </w:rPr>
        <w:t>陕西中医药大学第二附属医院</w:t>
      </w:r>
    </w:p>
    <w:p w14:paraId="459C3BF8">
      <w:pPr>
        <w:spacing w:line="480" w:lineRule="exact"/>
        <w:rPr>
          <w:rFonts w:hint="eastAsia" w:ascii="宋体" w:hAnsi="宋体" w:cs="宋体"/>
          <w:color w:val="000000"/>
          <w:sz w:val="24"/>
        </w:rPr>
      </w:pPr>
    </w:p>
    <w:p w14:paraId="78A40630">
      <w:pPr>
        <w:spacing w:line="480" w:lineRule="exact"/>
        <w:rPr>
          <w:rFonts w:hint="eastAsia" w:ascii="宋体" w:hAnsi="宋体" w:cs="宋体"/>
          <w:color w:val="000000"/>
          <w:sz w:val="24"/>
        </w:rPr>
      </w:pPr>
      <w:r>
        <w:rPr>
          <w:rFonts w:hint="eastAsia" w:ascii="宋体" w:hAnsi="宋体" w:cs="宋体"/>
          <w:color w:val="000000"/>
          <w:sz w:val="24"/>
        </w:rPr>
        <w:t>法定代表人（签章）：</w:t>
      </w:r>
    </w:p>
    <w:p w14:paraId="50DDC909">
      <w:pPr>
        <w:spacing w:line="480" w:lineRule="exact"/>
        <w:rPr>
          <w:rFonts w:hint="eastAsia" w:ascii="宋体" w:hAnsi="宋体" w:cs="宋体"/>
          <w:color w:val="000000"/>
          <w:sz w:val="24"/>
        </w:rPr>
      </w:pPr>
    </w:p>
    <w:p w14:paraId="60D0E78F">
      <w:pPr>
        <w:spacing w:line="480" w:lineRule="exact"/>
        <w:rPr>
          <w:rFonts w:hint="eastAsia" w:ascii="宋体" w:hAnsi="宋体" w:cs="宋体"/>
          <w:color w:val="000000"/>
          <w:sz w:val="24"/>
        </w:rPr>
      </w:pPr>
      <w:r>
        <w:rPr>
          <w:rFonts w:hint="eastAsia" w:ascii="宋体" w:hAnsi="宋体" w:cs="宋体"/>
          <w:color w:val="000000"/>
          <w:sz w:val="24"/>
        </w:rPr>
        <w:t>授权委托人：</w:t>
      </w:r>
    </w:p>
    <w:p w14:paraId="2205085D">
      <w:pPr>
        <w:pStyle w:val="21"/>
        <w:spacing w:line="480" w:lineRule="exact"/>
        <w:ind w:left="0" w:firstLine="0" w:firstLineChars="0"/>
        <w:rPr>
          <w:rFonts w:hint="eastAsia" w:ascii="宋体" w:hAnsi="宋体" w:cs="宋体"/>
          <w:color w:val="000000"/>
          <w:sz w:val="24"/>
        </w:rPr>
      </w:pPr>
    </w:p>
    <w:p w14:paraId="1AB483D8">
      <w:pPr>
        <w:pStyle w:val="21"/>
        <w:spacing w:line="480" w:lineRule="exact"/>
        <w:ind w:left="0" w:firstLine="0" w:firstLineChars="0"/>
        <w:rPr>
          <w:rFonts w:hint="eastAsia" w:ascii="宋体" w:hAnsi="宋体" w:cs="宋体"/>
          <w:sz w:val="18"/>
          <w:szCs w:val="22"/>
        </w:rPr>
      </w:pPr>
      <w:r>
        <w:rPr>
          <w:rFonts w:hint="eastAsia" w:ascii="宋体" w:hAnsi="宋体" w:cs="宋体"/>
          <w:color w:val="000000"/>
          <w:sz w:val="24"/>
        </w:rPr>
        <w:t>经办人：</w:t>
      </w:r>
    </w:p>
    <w:p w14:paraId="001C765F">
      <w:pPr>
        <w:pStyle w:val="21"/>
        <w:spacing w:line="480" w:lineRule="exact"/>
        <w:ind w:left="0" w:firstLine="0" w:firstLineChars="0"/>
        <w:rPr>
          <w:rFonts w:hint="eastAsia" w:ascii="宋体" w:hAnsi="宋体" w:cs="宋体"/>
          <w:color w:val="000000"/>
          <w:sz w:val="24"/>
        </w:rPr>
      </w:pPr>
    </w:p>
    <w:p w14:paraId="08E7225E">
      <w:pPr>
        <w:pStyle w:val="21"/>
        <w:spacing w:line="480" w:lineRule="exact"/>
        <w:ind w:left="0" w:firstLine="0" w:firstLineChars="0"/>
        <w:rPr>
          <w:rFonts w:hint="eastAsia" w:ascii="宋体" w:hAnsi="宋体" w:cs="宋体"/>
          <w:b/>
          <w:color w:val="000000"/>
          <w:sz w:val="24"/>
        </w:rPr>
      </w:pPr>
      <w:r>
        <w:rPr>
          <w:rFonts w:hint="eastAsia" w:ascii="宋体" w:hAnsi="宋体" w:cs="宋体"/>
          <w:color w:val="000000"/>
          <w:sz w:val="24"/>
        </w:rPr>
        <w:t xml:space="preserve">   年   月    日     </w:t>
      </w:r>
      <w:r>
        <w:rPr>
          <w:rFonts w:hint="eastAsia" w:ascii="宋体" w:hAnsi="宋体" w:cs="宋体"/>
          <w:b/>
          <w:color w:val="000000"/>
          <w:sz w:val="24"/>
        </w:rPr>
        <w:t xml:space="preserve">           </w:t>
      </w:r>
    </w:p>
    <w:p w14:paraId="79FD23CC">
      <w:pPr>
        <w:pStyle w:val="21"/>
        <w:spacing w:line="480" w:lineRule="exact"/>
        <w:ind w:left="0" w:firstLine="0" w:firstLineChars="0"/>
        <w:rPr>
          <w:rFonts w:hint="eastAsia" w:ascii="宋体" w:hAnsi="宋体" w:cs="宋体"/>
          <w:b/>
          <w:color w:val="000000"/>
          <w:sz w:val="24"/>
        </w:rPr>
      </w:pPr>
    </w:p>
    <w:p w14:paraId="65CA055D">
      <w:pPr>
        <w:pStyle w:val="21"/>
        <w:spacing w:line="480" w:lineRule="exact"/>
        <w:ind w:left="0" w:firstLine="0" w:firstLineChars="0"/>
        <w:rPr>
          <w:rFonts w:hint="eastAsia" w:ascii="宋体" w:hAnsi="宋体" w:cs="宋体"/>
          <w:b/>
          <w:color w:val="000000"/>
          <w:sz w:val="24"/>
        </w:rPr>
      </w:pPr>
    </w:p>
    <w:p w14:paraId="5AE87468">
      <w:pPr>
        <w:pStyle w:val="21"/>
        <w:spacing w:line="480" w:lineRule="exact"/>
        <w:ind w:left="0" w:firstLine="0" w:firstLineChars="0"/>
        <w:rPr>
          <w:rFonts w:hint="eastAsia" w:ascii="宋体" w:hAnsi="宋体" w:cs="宋体"/>
          <w:b/>
          <w:color w:val="000000"/>
          <w:sz w:val="24"/>
        </w:rPr>
      </w:pPr>
      <w:r>
        <w:rPr>
          <w:rFonts w:hint="eastAsia" w:ascii="宋体" w:hAnsi="宋体" w:cs="宋体"/>
          <w:b/>
          <w:color w:val="000000"/>
          <w:sz w:val="24"/>
        </w:rPr>
        <w:t xml:space="preserve">乙方（盖章）： </w:t>
      </w:r>
    </w:p>
    <w:p w14:paraId="3CC81507">
      <w:pPr>
        <w:pStyle w:val="21"/>
        <w:spacing w:line="480" w:lineRule="exact"/>
        <w:ind w:left="0" w:firstLine="0" w:firstLineChars="0"/>
        <w:rPr>
          <w:rFonts w:hint="eastAsia" w:ascii="宋体" w:hAnsi="宋体" w:cs="宋体"/>
          <w:b/>
          <w:color w:val="000000"/>
          <w:sz w:val="24"/>
        </w:rPr>
      </w:pPr>
    </w:p>
    <w:p w14:paraId="7948CE25">
      <w:pPr>
        <w:pStyle w:val="21"/>
        <w:spacing w:line="480" w:lineRule="exact"/>
        <w:ind w:left="0" w:firstLine="0" w:firstLineChars="0"/>
        <w:rPr>
          <w:rFonts w:hint="eastAsia" w:ascii="宋体" w:hAnsi="宋体" w:cs="宋体"/>
          <w:b/>
          <w:color w:val="000000"/>
          <w:sz w:val="24"/>
        </w:rPr>
      </w:pPr>
    </w:p>
    <w:p w14:paraId="371CA2F9">
      <w:pPr>
        <w:pStyle w:val="21"/>
        <w:spacing w:line="480" w:lineRule="exact"/>
        <w:ind w:left="0" w:firstLine="0" w:firstLineChars="0"/>
        <w:rPr>
          <w:rFonts w:hint="eastAsia" w:ascii="宋体" w:hAnsi="宋体" w:cs="宋体"/>
          <w:color w:val="000000"/>
          <w:sz w:val="24"/>
        </w:rPr>
      </w:pPr>
      <w:r>
        <w:rPr>
          <w:rFonts w:hint="eastAsia" w:ascii="宋体" w:hAnsi="宋体" w:cs="宋体"/>
          <w:color w:val="000000"/>
          <w:sz w:val="24"/>
        </w:rPr>
        <w:t>法定代表人（签章）：</w:t>
      </w:r>
    </w:p>
    <w:p w14:paraId="4B74161F">
      <w:pPr>
        <w:pStyle w:val="21"/>
        <w:spacing w:line="480" w:lineRule="exact"/>
        <w:ind w:left="0" w:firstLine="0" w:firstLineChars="0"/>
        <w:rPr>
          <w:rFonts w:hint="eastAsia" w:ascii="宋体" w:hAnsi="宋体" w:cs="宋体"/>
          <w:color w:val="000000"/>
          <w:sz w:val="24"/>
        </w:rPr>
      </w:pPr>
    </w:p>
    <w:p w14:paraId="42E4CF26">
      <w:pPr>
        <w:pStyle w:val="21"/>
        <w:spacing w:line="480" w:lineRule="exact"/>
        <w:ind w:left="0" w:firstLine="0" w:firstLineChars="0"/>
        <w:rPr>
          <w:rFonts w:hint="eastAsia" w:ascii="宋体" w:hAnsi="宋体" w:cs="宋体"/>
          <w:color w:val="000000"/>
          <w:sz w:val="24"/>
        </w:rPr>
      </w:pPr>
    </w:p>
    <w:p w14:paraId="27C41496">
      <w:pPr>
        <w:pStyle w:val="21"/>
        <w:spacing w:line="480" w:lineRule="exact"/>
        <w:ind w:left="0" w:firstLine="0" w:firstLineChars="0"/>
        <w:rPr>
          <w:rFonts w:hint="eastAsia" w:ascii="宋体" w:hAnsi="宋体" w:cs="宋体"/>
          <w:color w:val="000000"/>
          <w:sz w:val="24"/>
        </w:rPr>
      </w:pPr>
      <w:r>
        <w:rPr>
          <w:rFonts w:hint="eastAsia" w:ascii="宋体" w:hAnsi="宋体" w:cs="宋体"/>
          <w:color w:val="000000"/>
          <w:sz w:val="24"/>
        </w:rPr>
        <w:t>授权委托人：</w:t>
      </w:r>
    </w:p>
    <w:p w14:paraId="4795FE42">
      <w:pPr>
        <w:pStyle w:val="21"/>
        <w:spacing w:line="480" w:lineRule="exact"/>
        <w:ind w:left="0" w:firstLine="0" w:firstLineChars="0"/>
        <w:rPr>
          <w:rFonts w:hint="eastAsia" w:ascii="宋体" w:hAnsi="宋体" w:cs="宋体"/>
          <w:color w:val="000000"/>
          <w:sz w:val="24"/>
        </w:rPr>
      </w:pPr>
    </w:p>
    <w:p w14:paraId="0F6D7B40">
      <w:pPr>
        <w:pStyle w:val="21"/>
        <w:spacing w:line="480" w:lineRule="exact"/>
        <w:ind w:left="0" w:firstLine="0" w:firstLineChars="0"/>
        <w:rPr>
          <w:rFonts w:hint="eastAsia" w:ascii="宋体" w:hAnsi="宋体" w:cs="宋体"/>
          <w:color w:val="000000"/>
          <w:sz w:val="24"/>
        </w:rPr>
      </w:pPr>
    </w:p>
    <w:p w14:paraId="701583B8">
      <w:pPr>
        <w:pStyle w:val="21"/>
        <w:tabs>
          <w:tab w:val="right" w:pos="4030"/>
        </w:tabs>
        <w:spacing w:line="240" w:lineRule="auto"/>
        <w:ind w:left="0" w:firstLine="0" w:firstLineChars="0"/>
        <w:rPr>
          <w:rFonts w:hint="eastAsia" w:ascii="仿宋" w:hAnsi="仿宋" w:cs="仿宋"/>
          <w:color w:val="000000"/>
          <w:sz w:val="24"/>
        </w:rPr>
        <w:sectPr>
          <w:type w:val="continuous"/>
          <w:pgSz w:w="11906" w:h="16838"/>
          <w:pgMar w:top="1440" w:right="1800" w:bottom="1402" w:left="1620" w:header="851" w:footer="992" w:gutter="0"/>
          <w:cols w:equalWidth="0" w:num="2">
            <w:col w:w="4030" w:space="425"/>
            <w:col w:w="4030"/>
          </w:cols>
          <w:docGrid w:type="lines" w:linePitch="312" w:charSpace="0"/>
        </w:sectPr>
      </w:pPr>
      <w:r>
        <w:rPr>
          <w:rFonts w:hint="eastAsia" w:ascii="宋体" w:hAnsi="宋体" w:cs="宋体"/>
          <w:color w:val="000000"/>
          <w:sz w:val="24"/>
        </w:rPr>
        <w:t xml:space="preserve">   年   月   日 </w:t>
      </w:r>
    </w:p>
    <w:p w14:paraId="1C9FF95E">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spacing w:val="0"/>
          <w:w w:val="100"/>
          <w:kern w:val="2"/>
          <w:sz w:val="24"/>
          <w:szCs w:val="24"/>
          <w:lang w:val="en-US" w:eastAsia="zh-CN" w:bidi="ar-SA"/>
        </w:rPr>
      </w:pPr>
    </w:p>
    <w:p w14:paraId="530710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在开标前应</w:t>
      </w:r>
      <w:r>
        <w:rPr>
          <w:rStyle w:val="33"/>
          <w:rFonts w:hint="eastAsia" w:ascii="宋体" w:hAnsi="宋体" w:eastAsia="宋体" w:cs="宋体"/>
          <w:bCs/>
          <w:sz w:val="24"/>
          <w:szCs w:val="24"/>
          <w:highlight w:val="none"/>
          <w:lang w:val="en-US" w:eastAsia="zh-CN"/>
        </w:rPr>
        <w:t>缴纳</w:t>
      </w:r>
      <w:r>
        <w:rPr>
          <w:rStyle w:val="33"/>
          <w:rFonts w:hint="eastAsia" w:ascii="宋体" w:hAnsi="宋体" w:eastAsia="宋体" w:cs="宋体"/>
          <w:bCs/>
          <w:sz w:val="24"/>
          <w:szCs w:val="24"/>
          <w:highlight w:val="none"/>
        </w:rPr>
        <w:t>投标保</w:t>
      </w:r>
      <w:r>
        <w:rPr>
          <w:rStyle w:val="33"/>
          <w:rFonts w:hint="eastAsia" w:ascii="宋体" w:hAnsi="宋体" w:eastAsia="宋体" w:cs="宋体"/>
          <w:bCs/>
          <w:color w:val="000000"/>
          <w:sz w:val="24"/>
          <w:szCs w:val="24"/>
          <w:highlight w:val="none"/>
        </w:rPr>
        <w:t>证金</w:t>
      </w:r>
      <w:r>
        <w:rPr>
          <w:rStyle w:val="33"/>
          <w:rFonts w:hint="eastAsia" w:ascii="宋体" w:hAnsi="宋体" w:eastAsia="宋体" w:cs="宋体"/>
          <w:b/>
          <w:bCs w:val="0"/>
          <w:color w:val="000000"/>
          <w:sz w:val="24"/>
          <w:szCs w:val="24"/>
          <w:highlight w:val="none"/>
          <w:u w:val="single"/>
          <w:lang w:val="en-US" w:eastAsia="zh-CN"/>
        </w:rPr>
        <w:t>人民币</w:t>
      </w:r>
      <w:r>
        <w:rPr>
          <w:rStyle w:val="33"/>
          <w:rFonts w:hint="eastAsia" w:ascii="宋体" w:hAnsi="宋体" w:eastAsia="宋体" w:cs="宋体"/>
          <w:b/>
          <w:color w:val="000000"/>
          <w:sz w:val="24"/>
          <w:szCs w:val="24"/>
          <w:highlight w:val="none"/>
          <w:u w:val="single"/>
        </w:rPr>
        <w:t>叁仟元</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
          <w:color w:val="000000"/>
          <w:sz w:val="24"/>
          <w:szCs w:val="24"/>
          <w:highlight w:val="none"/>
          <w:u w:val="single"/>
          <w:lang w:val="en-US" w:eastAsia="zh-CN"/>
        </w:rPr>
        <w:t>公对公转账，报名期间缴纳</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Cs/>
          <w:sz w:val="24"/>
          <w:szCs w:val="24"/>
          <w:highlight w:val="none"/>
        </w:rPr>
        <w:t>。</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在交纳投标保证金后</w:t>
      </w:r>
      <w:r>
        <w:rPr>
          <w:rStyle w:val="33"/>
          <w:rFonts w:hint="eastAsia" w:ascii="宋体" w:hAnsi="宋体" w:eastAsia="宋体" w:cs="宋体"/>
          <w:bCs/>
          <w:sz w:val="24"/>
          <w:szCs w:val="24"/>
          <w:highlight w:val="none"/>
          <w:lang w:val="en-US" w:eastAsia="zh-CN"/>
        </w:rPr>
        <w:t>无故</w:t>
      </w:r>
      <w:r>
        <w:rPr>
          <w:rStyle w:val="33"/>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lang w:val="en-US" w:eastAsia="zh-CN"/>
        </w:rPr>
        <w:t>在开标时</w:t>
      </w:r>
      <w:r>
        <w:rPr>
          <w:rStyle w:val="33"/>
          <w:rFonts w:hint="eastAsia" w:ascii="宋体" w:hAnsi="宋体" w:eastAsia="宋体" w:cs="宋体"/>
          <w:bCs/>
          <w:sz w:val="24"/>
          <w:szCs w:val="24"/>
          <w:highlight w:val="none"/>
        </w:rPr>
        <w:t>中途退场、影响</w:t>
      </w:r>
      <w:r>
        <w:rPr>
          <w:rStyle w:val="33"/>
          <w:rFonts w:hint="eastAsia" w:ascii="宋体" w:hAnsi="宋体" w:eastAsia="宋体" w:cs="宋体"/>
          <w:bCs/>
          <w:sz w:val="24"/>
          <w:szCs w:val="24"/>
          <w:highlight w:val="none"/>
          <w:lang w:val="en-US" w:eastAsia="zh-CN"/>
        </w:rPr>
        <w:t>评标</w:t>
      </w:r>
      <w:r>
        <w:rPr>
          <w:rStyle w:val="33"/>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3、中标</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未在规定期限内与</w:t>
      </w:r>
      <w:r>
        <w:rPr>
          <w:rStyle w:val="33"/>
          <w:rFonts w:hint="eastAsia" w:ascii="宋体" w:hAnsi="宋体" w:eastAsia="宋体" w:cs="宋体"/>
          <w:bCs/>
          <w:sz w:val="24"/>
          <w:szCs w:val="24"/>
          <w:highlight w:val="none"/>
          <w:lang w:val="en-US" w:eastAsia="zh-CN"/>
        </w:rPr>
        <w:t>招标人</w:t>
      </w:r>
      <w:r>
        <w:rPr>
          <w:rStyle w:val="33"/>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17D227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sectPr>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SZRFYZB202503-080</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49795C0">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69313BD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秦都院区污水处理站维修服务项目</w:t>
      </w:r>
    </w:p>
    <w:p w14:paraId="2259B336">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color w:val="000000"/>
          <w:kern w:val="0"/>
          <w:sz w:val="24"/>
          <w:szCs w:val="24"/>
          <w:highlight w:val="none"/>
        </w:rPr>
      </w:pPr>
    </w:p>
    <w:p w14:paraId="34DDBDC0">
      <w:pPr>
        <w:pStyle w:val="21"/>
        <w:pageBreakBefore w:val="0"/>
        <w:kinsoku/>
        <w:wordWrap/>
        <w:overflowPunct/>
        <w:topLinePunct w:val="0"/>
        <w:bidi w:val="0"/>
        <w:spacing w:after="0" w:line="360" w:lineRule="auto"/>
        <w:ind w:left="0" w:leftChars="0" w:firstLine="0" w:firstLineChars="0"/>
        <w:textAlignment w:val="auto"/>
        <w:rPr>
          <w:rStyle w:val="33"/>
          <w:rFonts w:hint="eastAsia" w:ascii="宋体" w:hAnsi="宋体" w:eastAsia="宋体" w:cs="宋体"/>
          <w:color w:val="000000"/>
          <w:kern w:val="0"/>
          <w:sz w:val="24"/>
          <w:szCs w:val="24"/>
          <w:highlight w:val="none"/>
        </w:rPr>
      </w:pPr>
    </w:p>
    <w:p w14:paraId="50DDD6EA">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cs="宋体"/>
          <w:b/>
          <w:sz w:val="28"/>
          <w:szCs w:val="28"/>
          <w:highlight w:val="none"/>
          <w:lang w:val="en-US" w:eastAsia="zh-CN"/>
        </w:rPr>
        <w:t>签字或盖章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3"/>
          <w:rFonts w:hint="eastAsia" w:ascii="宋体" w:hAnsi="宋体" w:eastAsia="宋体" w:cs="宋体"/>
          <w:b/>
          <w:sz w:val="28"/>
          <w:szCs w:val="28"/>
          <w:highlight w:val="none"/>
        </w:rPr>
        <w:t>时      间：</w:t>
      </w:r>
      <w:r>
        <w:rPr>
          <w:rStyle w:val="33"/>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24"/>
          <w:szCs w:val="24"/>
          <w:highlight w:val="none"/>
        </w:rPr>
      </w:pPr>
    </w:p>
    <w:p w14:paraId="7AFEE98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bCs/>
          <w:color w:val="000000"/>
          <w:kern w:val="0"/>
          <w:sz w:val="36"/>
          <w:szCs w:val="36"/>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color w:val="000000"/>
          <w:kern w:val="0"/>
          <w:sz w:val="36"/>
          <w:szCs w:val="36"/>
          <w:highlight w:val="none"/>
        </w:rPr>
      </w:pPr>
      <w:r>
        <w:rPr>
          <w:rStyle w:val="33"/>
          <w:rFonts w:hint="eastAsia" w:ascii="宋体" w:hAnsi="宋体" w:eastAsia="宋体" w:cs="宋体"/>
          <w:b/>
          <w:bCs/>
          <w:color w:val="000000"/>
          <w:kern w:val="0"/>
          <w:sz w:val="36"/>
          <w:szCs w:val="36"/>
          <w:highlight w:val="none"/>
        </w:rPr>
        <w:t>目</w:t>
      </w:r>
      <w:r>
        <w:rPr>
          <w:rStyle w:val="33"/>
          <w:rFonts w:hint="eastAsia" w:ascii="宋体" w:hAnsi="宋体" w:eastAsia="宋体" w:cs="宋体"/>
          <w:b/>
          <w:bCs/>
          <w:color w:val="000000"/>
          <w:kern w:val="0"/>
          <w:sz w:val="36"/>
          <w:szCs w:val="36"/>
          <w:highlight w:val="none"/>
          <w:lang w:val="en-US" w:eastAsia="zh-CN"/>
        </w:rPr>
        <w:t xml:space="preserve">  </w:t>
      </w:r>
      <w:r>
        <w:rPr>
          <w:rStyle w:val="33"/>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第一部分：</w:t>
      </w:r>
      <w:r>
        <w:rPr>
          <w:rStyle w:val="33"/>
          <w:rFonts w:hint="eastAsia" w:ascii="宋体" w:hAnsi="宋体" w:eastAsia="宋体" w:cs="宋体"/>
          <w:color w:val="000000"/>
          <w:kern w:val="0"/>
          <w:sz w:val="28"/>
          <w:szCs w:val="28"/>
          <w:highlight w:val="none"/>
          <w:lang w:val="en-US" w:eastAsia="zh-CN"/>
        </w:rPr>
        <w:t>投标</w:t>
      </w:r>
      <w:r>
        <w:rPr>
          <w:rStyle w:val="33"/>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第二部分：</w:t>
      </w:r>
      <w:r>
        <w:rPr>
          <w:rStyle w:val="33"/>
          <w:rFonts w:hint="eastAsia" w:ascii="宋体" w:hAnsi="宋体" w:cs="宋体"/>
          <w:color w:val="000000"/>
          <w:kern w:val="0"/>
          <w:sz w:val="28"/>
          <w:szCs w:val="28"/>
          <w:highlight w:val="none"/>
          <w:lang w:val="en-US" w:eastAsia="zh-CN"/>
        </w:rPr>
        <w:t>磋商</w:t>
      </w:r>
      <w:r>
        <w:rPr>
          <w:rStyle w:val="33"/>
          <w:rFonts w:hint="eastAsia" w:ascii="宋体" w:hAnsi="宋体" w:eastAsia="宋体" w:cs="宋体"/>
          <w:color w:val="000000"/>
          <w:kern w:val="0"/>
          <w:sz w:val="28"/>
          <w:szCs w:val="28"/>
          <w:highlight w:val="none"/>
          <w:lang w:eastAsia="zh-CN"/>
        </w:rPr>
        <w:t>报</w:t>
      </w:r>
      <w:r>
        <w:rPr>
          <w:rStyle w:val="33"/>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val="en-US" w:eastAsia="zh-CN"/>
        </w:rPr>
      </w:pPr>
      <w:r>
        <w:rPr>
          <w:rStyle w:val="33"/>
          <w:rFonts w:hint="eastAsia" w:ascii="宋体" w:hAnsi="宋体" w:eastAsia="宋体" w:cs="宋体"/>
          <w:color w:val="000000"/>
          <w:kern w:val="0"/>
          <w:sz w:val="28"/>
          <w:szCs w:val="28"/>
          <w:highlight w:val="none"/>
        </w:rPr>
        <w:t>第三部分：</w:t>
      </w:r>
      <w:r>
        <w:rPr>
          <w:rStyle w:val="33"/>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rPr>
        <w:t>部分：</w:t>
      </w:r>
      <w:r>
        <w:rPr>
          <w:rStyle w:val="33"/>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第</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部分：</w:t>
      </w:r>
      <w:r>
        <w:rPr>
          <w:rStyle w:val="33"/>
          <w:rFonts w:hint="eastAsia" w:ascii="宋体" w:hAnsi="宋体" w:cs="宋体"/>
          <w:color w:val="000000"/>
          <w:kern w:val="0"/>
          <w:sz w:val="28"/>
          <w:szCs w:val="28"/>
          <w:highlight w:val="none"/>
          <w:lang w:eastAsia="zh-CN"/>
        </w:rPr>
        <w:t>供应商</w:t>
      </w:r>
      <w:r>
        <w:rPr>
          <w:rStyle w:val="33"/>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六</w:t>
      </w:r>
      <w:r>
        <w:rPr>
          <w:rStyle w:val="33"/>
          <w:rFonts w:hint="eastAsia" w:ascii="宋体" w:hAnsi="宋体" w:eastAsia="宋体" w:cs="宋体"/>
          <w:color w:val="000000"/>
          <w:kern w:val="0"/>
          <w:sz w:val="28"/>
          <w:szCs w:val="28"/>
          <w:highlight w:val="none"/>
        </w:rPr>
        <w:t>部分</w:t>
      </w:r>
      <w:r>
        <w:rPr>
          <w:rStyle w:val="33"/>
          <w:rFonts w:hint="eastAsia" w:ascii="宋体" w:hAnsi="宋体" w:eastAsia="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lang w:val="en-US" w:eastAsia="zh-CN"/>
        </w:rPr>
        <w:t>（一）</w:t>
      </w:r>
      <w:r>
        <w:rPr>
          <w:rStyle w:val="33"/>
          <w:rFonts w:hint="eastAsia" w:ascii="宋体" w:hAnsi="宋体" w:eastAsia="宋体" w:cs="宋体"/>
          <w:color w:val="000000"/>
          <w:kern w:val="0"/>
          <w:sz w:val="28"/>
          <w:szCs w:val="28"/>
          <w:highlight w:val="none"/>
        </w:rPr>
        <w:t>营业执照等主体资格证明文件</w:t>
      </w:r>
      <w:r>
        <w:rPr>
          <w:rStyle w:val="33"/>
          <w:rFonts w:hint="eastAsia" w:ascii="宋体" w:hAnsi="宋体" w:cs="宋体"/>
          <w:color w:val="000000"/>
          <w:kern w:val="0"/>
          <w:sz w:val="28"/>
          <w:szCs w:val="28"/>
          <w:highlight w:val="none"/>
          <w:lang w:val="en-US" w:eastAsia="zh-CN"/>
        </w:rPr>
        <w:t>及其他</w:t>
      </w:r>
      <w:r>
        <w:rPr>
          <w:rStyle w:val="33"/>
          <w:rFonts w:hint="eastAsia" w:ascii="宋体" w:hAnsi="宋体" w:eastAsia="宋体" w:cs="宋体"/>
          <w:color w:val="000000"/>
          <w:kern w:val="0"/>
          <w:sz w:val="28"/>
          <w:szCs w:val="28"/>
          <w:highlight w:val="none"/>
        </w:rPr>
        <w:t>资格条件</w:t>
      </w: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如有要求</w:t>
      </w:r>
      <w:r>
        <w:rPr>
          <w:rStyle w:val="33"/>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二</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三</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控股管理关系</w:t>
      </w:r>
    </w:p>
    <w:p w14:paraId="199F31C4">
      <w:pPr>
        <w:pStyle w:val="21"/>
        <w:ind w:left="0" w:leftChars="0" w:firstLine="560" w:firstLineChars="200"/>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六</w:t>
      </w:r>
      <w:r>
        <w:rPr>
          <w:rStyle w:val="33"/>
          <w:rFonts w:hint="eastAsia" w:ascii="宋体" w:hAnsi="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七</w:t>
      </w:r>
      <w:r>
        <w:rPr>
          <w:rStyle w:val="33"/>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501C84C">
      <w:pPr>
        <w:pStyle w:val="14"/>
        <w:rPr>
          <w:rStyle w:val="33"/>
          <w:rFonts w:hint="eastAsia" w:ascii="宋体" w:hAnsi="宋体" w:eastAsia="宋体" w:cs="宋体"/>
          <w:color w:val="000000"/>
          <w:kern w:val="0"/>
          <w:sz w:val="24"/>
          <w:szCs w:val="24"/>
          <w:highlight w:val="none"/>
        </w:rPr>
      </w:pPr>
    </w:p>
    <w:p w14:paraId="51344870">
      <w:pPr>
        <w:pStyle w:val="14"/>
        <w:rPr>
          <w:rStyle w:val="33"/>
          <w:rFonts w:hint="eastAsia" w:ascii="宋体" w:hAnsi="宋体" w:eastAsia="宋体" w:cs="宋体"/>
          <w:color w:val="000000"/>
          <w:kern w:val="0"/>
          <w:sz w:val="24"/>
          <w:szCs w:val="24"/>
          <w:highlight w:val="none"/>
        </w:rPr>
      </w:pPr>
    </w:p>
    <w:p w14:paraId="613E0ACE">
      <w:pPr>
        <w:pStyle w:val="14"/>
        <w:rPr>
          <w:rStyle w:val="33"/>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sz w:val="32"/>
          <w:szCs w:val="32"/>
          <w:highlight w:val="none"/>
        </w:rPr>
      </w:pPr>
      <w:r>
        <w:rPr>
          <w:rStyle w:val="33"/>
          <w:rFonts w:hint="eastAsia" w:ascii="宋体" w:hAnsi="宋体" w:eastAsia="宋体" w:cs="宋体"/>
          <w:b/>
          <w:color w:val="000000"/>
          <w:kern w:val="0"/>
          <w:sz w:val="32"/>
          <w:szCs w:val="32"/>
          <w:highlight w:val="none"/>
        </w:rPr>
        <w:t>第一部分</w:t>
      </w:r>
      <w:r>
        <w:rPr>
          <w:rStyle w:val="33"/>
          <w:rFonts w:hint="eastAsia" w:ascii="宋体" w:hAnsi="宋体" w:eastAsia="宋体" w:cs="宋体"/>
          <w:b/>
          <w:color w:val="000000"/>
          <w:kern w:val="0"/>
          <w:sz w:val="32"/>
          <w:szCs w:val="32"/>
          <w:highlight w:val="none"/>
          <w:lang w:val="en-US" w:eastAsia="zh-CN"/>
        </w:rPr>
        <w:t xml:space="preserve">  投标</w:t>
      </w:r>
      <w:r>
        <w:rPr>
          <w:rStyle w:val="33"/>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3"/>
          <w:rFonts w:hint="eastAsia" w:ascii="宋体" w:hAnsi="宋体" w:eastAsia="宋体" w:cs="宋体"/>
          <w:b/>
          <w:bCs/>
          <w:sz w:val="24"/>
          <w:szCs w:val="24"/>
          <w:highlight w:val="none"/>
        </w:rPr>
      </w:pPr>
      <w:r>
        <w:rPr>
          <w:rStyle w:val="33"/>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收到 （项目名称：陕西中医药大学第二附属医院</w:t>
      </w:r>
      <w:r>
        <w:rPr>
          <w:rStyle w:val="33"/>
          <w:rFonts w:hint="eastAsia" w:ascii="宋体" w:hAnsi="宋体" w:cs="宋体"/>
          <w:sz w:val="24"/>
          <w:szCs w:val="24"/>
          <w:highlight w:val="none"/>
          <w:lang w:val="en-US" w:eastAsia="zh-CN"/>
        </w:rPr>
        <w:t>秦都院区污水处理站维修服务项目</w:t>
      </w:r>
      <w:r>
        <w:rPr>
          <w:rStyle w:val="33"/>
          <w:rFonts w:hint="eastAsia" w:ascii="宋体" w:hAnsi="宋体" w:eastAsia="宋体" w:cs="宋体"/>
          <w:sz w:val="24"/>
          <w:szCs w:val="24"/>
          <w:highlight w:val="none"/>
        </w:rPr>
        <w:t>；项目编号：</w:t>
      </w:r>
      <w:r>
        <w:rPr>
          <w:rStyle w:val="33"/>
          <w:rFonts w:hint="eastAsia" w:ascii="宋体" w:hAnsi="宋体" w:cs="宋体"/>
          <w:sz w:val="24"/>
          <w:szCs w:val="24"/>
          <w:highlight w:val="none"/>
          <w:lang w:eastAsia="zh-CN"/>
        </w:rPr>
        <w:t>SZRFYZB202503-080</w:t>
      </w:r>
      <w:r>
        <w:rPr>
          <w:rStyle w:val="33"/>
          <w:rFonts w:hint="eastAsia" w:ascii="宋体" w:hAnsi="宋体" w:eastAsia="宋体" w:cs="宋体"/>
          <w:sz w:val="24"/>
          <w:szCs w:val="24"/>
          <w:highlight w:val="none"/>
        </w:rPr>
        <w:t>）</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rPr>
        <w:t>，经我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详细研究，决定参加本项目的</w:t>
      </w:r>
      <w:r>
        <w:rPr>
          <w:rStyle w:val="33"/>
          <w:rFonts w:hint="eastAsia" w:ascii="宋体" w:hAnsi="宋体" w:eastAsia="宋体" w:cs="宋体"/>
          <w:sz w:val="24"/>
          <w:szCs w:val="24"/>
          <w:highlight w:val="none"/>
          <w:lang w:eastAsia="zh-CN"/>
        </w:rPr>
        <w:t>招标</w:t>
      </w:r>
      <w:r>
        <w:rPr>
          <w:rStyle w:val="33"/>
          <w:rFonts w:hint="eastAsia" w:ascii="宋体" w:hAnsi="宋体" w:eastAsia="宋体" w:cs="宋体"/>
          <w:sz w:val="24"/>
          <w:szCs w:val="24"/>
          <w:highlight w:val="none"/>
        </w:rPr>
        <w:t>活动。为此，我</w:t>
      </w:r>
      <w:r>
        <w:rPr>
          <w:rStyle w:val="33"/>
          <w:rFonts w:hint="eastAsia" w:ascii="宋体" w:hAnsi="宋体" w:eastAsia="宋体" w:cs="宋体"/>
          <w:sz w:val="24"/>
          <w:szCs w:val="24"/>
          <w:highlight w:val="none"/>
          <w:lang w:val="en-US" w:eastAsia="zh-CN"/>
        </w:rPr>
        <w:t>单位进行</w:t>
      </w:r>
      <w:r>
        <w:rPr>
          <w:rStyle w:val="33"/>
          <w:rFonts w:hint="eastAsia" w:ascii="宋体" w:hAnsi="宋体" w:eastAsia="宋体" w:cs="宋体"/>
          <w:sz w:val="24"/>
          <w:szCs w:val="24"/>
          <w:highlight w:val="none"/>
        </w:rPr>
        <w:t>郑重声明，并愿意承担相应的法律责任</w:t>
      </w:r>
      <w:r>
        <w:rPr>
          <w:rStyle w:val="33"/>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3"/>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3"/>
          <w:rFonts w:hint="eastAsia" w:ascii="宋体" w:hAnsi="宋体" w:eastAsia="宋体" w:cs="宋体"/>
          <w:sz w:val="24"/>
          <w:szCs w:val="24"/>
          <w:highlight w:val="none"/>
        </w:rPr>
        <w:t>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已详细阅读了</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，完全理解并同意</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2.</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提交的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为正本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份，副本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r>
        <w:rPr>
          <w:rStyle w:val="33"/>
          <w:rFonts w:hint="eastAsia" w:ascii="宋体" w:hAnsi="宋体" w:eastAsia="宋体" w:cs="宋体"/>
          <w:sz w:val="24"/>
          <w:szCs w:val="24"/>
          <w:highlight w:val="none"/>
          <w:lang w:val="en-US" w:eastAsia="zh-CN"/>
        </w:rPr>
        <w:t>电子</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3.我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愿意按照</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4.</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在规定的</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有效期内撤回</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及承诺，</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5.我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6.我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在开标之日起</w:t>
      </w:r>
      <w:r>
        <w:rPr>
          <w:rStyle w:val="33"/>
          <w:rFonts w:hint="eastAsia" w:ascii="宋体" w:hAnsi="宋体" w:eastAsia="宋体" w:cs="宋体"/>
          <w:sz w:val="24"/>
          <w:szCs w:val="24"/>
          <w:highlight w:val="none"/>
          <w:u w:val="single"/>
        </w:rPr>
        <w:t xml:space="preserve"> 90  </w:t>
      </w:r>
      <w:r>
        <w:rPr>
          <w:rStyle w:val="33"/>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7.我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已悉知并关注了贵方在</w:t>
      </w:r>
      <w:r>
        <w:rPr>
          <w:rStyle w:val="33"/>
          <w:rFonts w:hint="eastAsia" w:ascii="宋体" w:hAnsi="宋体" w:cs="宋体"/>
          <w:sz w:val="24"/>
          <w:szCs w:val="24"/>
          <w:highlight w:val="none"/>
          <w:lang w:val="en-US" w:eastAsia="zh-CN"/>
        </w:rPr>
        <w:t>陕西中医药大学第二附属医院官网</w:t>
      </w:r>
      <w:r>
        <w:rPr>
          <w:rStyle w:val="33"/>
          <w:rFonts w:hint="eastAsia" w:ascii="宋体" w:hAnsi="宋体" w:eastAsia="宋体" w:cs="宋体"/>
          <w:sz w:val="24"/>
          <w:szCs w:val="24"/>
          <w:highlight w:val="none"/>
        </w:rPr>
        <w:t>上发布的关于本项目的有关变更公告（包括但不限于对</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val="en-US" w:eastAsia="zh-CN"/>
        </w:rPr>
        <w:t>8</w:t>
      </w:r>
      <w:r>
        <w:rPr>
          <w:rStyle w:val="33"/>
          <w:rFonts w:hint="eastAsia" w:ascii="宋体" w:hAnsi="宋体" w:eastAsia="宋体" w:cs="宋体"/>
          <w:sz w:val="24"/>
          <w:szCs w:val="24"/>
          <w:highlight w:val="none"/>
        </w:rPr>
        <w:t>.所有关于本次</w:t>
      </w:r>
      <w:r>
        <w:rPr>
          <w:rStyle w:val="33"/>
          <w:rFonts w:hint="eastAsia" w:ascii="宋体" w:hAnsi="宋体" w:eastAsia="宋体" w:cs="宋体"/>
          <w:sz w:val="24"/>
          <w:szCs w:val="24"/>
          <w:highlight w:val="none"/>
          <w:lang w:eastAsia="zh-CN"/>
        </w:rPr>
        <w:t>开标</w:t>
      </w:r>
      <w:r>
        <w:rPr>
          <w:rStyle w:val="33"/>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eastAsia="zh-CN"/>
        </w:rPr>
        <w:t>供应商</w:t>
      </w:r>
      <w:r>
        <w:rPr>
          <w:rStyle w:val="33"/>
          <w:rFonts w:hint="eastAsia" w:ascii="宋体" w:hAnsi="宋体" w:eastAsia="宋体" w:cs="宋体"/>
          <w:sz w:val="24"/>
          <w:szCs w:val="24"/>
          <w:highlight w:val="none"/>
        </w:rPr>
        <w:t>名称（盖章）：</w:t>
      </w:r>
      <w:r>
        <w:rPr>
          <w:rStyle w:val="33"/>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地    址：</w:t>
      </w:r>
      <w:r>
        <w:rPr>
          <w:rStyle w:val="33"/>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开户银行：</w:t>
      </w:r>
      <w:r>
        <w:rPr>
          <w:rStyle w:val="33"/>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帐    号：</w:t>
      </w:r>
      <w:r>
        <w:rPr>
          <w:rStyle w:val="33"/>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电    话：</w:t>
      </w:r>
      <w:r>
        <w:rPr>
          <w:rStyle w:val="33"/>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传    真：</w:t>
      </w:r>
      <w:r>
        <w:rPr>
          <w:rStyle w:val="33"/>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邮    编：</w:t>
      </w:r>
      <w:r>
        <w:rPr>
          <w:rStyle w:val="33"/>
          <w:rFonts w:hint="eastAsia" w:ascii="宋体" w:hAnsi="宋体" w:eastAsia="宋体" w:cs="宋体"/>
          <w:sz w:val="24"/>
          <w:szCs w:val="24"/>
          <w:highlight w:val="none"/>
          <w:u w:val="single"/>
        </w:rPr>
        <w:t xml:space="preserve">                                       </w:t>
      </w:r>
    </w:p>
    <w:p w14:paraId="1FB1C08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3"/>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磋商报价表</w:t>
      </w:r>
    </w:p>
    <w:p w14:paraId="04370DEC">
      <w:pPr>
        <w:pStyle w:val="21"/>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8" w:name="_Toc193126889"/>
      <w:bookmarkStart w:id="9" w:name="_Toc194663926"/>
      <w:bookmarkStart w:id="10" w:name="_Toc188808840"/>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秦都院区污水处理站维修服务项目</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SZRFYZB202503-080</w:t>
      </w:r>
      <w:r>
        <w:rPr>
          <w:rFonts w:hint="eastAsia" w:ascii="宋体" w:hAnsi="宋体" w:eastAsia="宋体" w:cs="宋体"/>
          <w:b/>
          <w:snapToGrid w:val="0"/>
          <w:kern w:val="0"/>
          <w:sz w:val="24"/>
          <w:szCs w:val="24"/>
          <w:highlight w:val="none"/>
        </w:rPr>
        <w:t xml:space="preserve"> </w:t>
      </w:r>
    </w:p>
    <w:tbl>
      <w:tblPr>
        <w:tblStyle w:val="22"/>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4FCDEA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质保期（年）</w:t>
            </w:r>
          </w:p>
        </w:tc>
        <w:tc>
          <w:tcPr>
            <w:tcW w:w="6729" w:type="dxa"/>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w:t>
      </w:r>
      <w:r>
        <w:rPr>
          <w:rFonts w:hint="default" w:ascii="Times New Roman" w:hAnsi="Times New Roman" w:cs="Times New Roman"/>
          <w:b w:val="0"/>
          <w:bCs w:val="0"/>
          <w:color w:val="000000"/>
          <w:kern w:val="0"/>
          <w:sz w:val="24"/>
          <w:szCs w:val="24"/>
          <w:lang w:val="en-US" w:eastAsia="zh-CN" w:bidi="ar-SA"/>
        </w:rPr>
        <w:t>设计费、材料费、制作费、运输费、安装费、人工费、损耗费、施工耗材费、运费、税金</w:t>
      </w:r>
      <w:r>
        <w:rPr>
          <w:rFonts w:hint="eastAsia" w:ascii="宋体" w:hAnsi="宋体" w:cs="宋体"/>
          <w:sz w:val="24"/>
          <w:szCs w:val="24"/>
          <w:lang w:val="en-US" w:eastAsia="zh-CN"/>
        </w:rPr>
        <w:t>等</w:t>
      </w:r>
      <w:r>
        <w:rPr>
          <w:rFonts w:hint="eastAsia" w:ascii="宋体" w:hAnsi="宋体" w:eastAsia="宋体" w:cs="宋体"/>
          <w:color w:val="000000"/>
          <w:sz w:val="24"/>
          <w:szCs w:val="24"/>
        </w:rPr>
        <w:t>。</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1"/>
        <w:rPr>
          <w:rFonts w:hint="eastAsia" w:ascii="宋体" w:hAnsi="宋体" w:eastAsia="宋体" w:cs="宋体"/>
          <w:sz w:val="24"/>
          <w:szCs w:val="24"/>
          <w:highlight w:val="none"/>
          <w:lang w:val="en-US" w:eastAsia="zh-CN"/>
        </w:rPr>
      </w:pPr>
    </w:p>
    <w:p w14:paraId="07DEA8EA">
      <w:pPr>
        <w:pStyle w:val="21"/>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34337F2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秦都院区污水处理站维修服务项目</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SZRFYZB202503-080</w:t>
      </w:r>
      <w:r>
        <w:rPr>
          <w:rFonts w:hint="eastAsia" w:ascii="宋体" w:hAnsi="宋体" w:eastAsia="宋体" w:cs="宋体"/>
          <w:b/>
          <w:snapToGrid w:val="0"/>
          <w:kern w:val="0"/>
          <w:sz w:val="24"/>
          <w:szCs w:val="24"/>
          <w:highlight w:val="none"/>
        </w:rPr>
        <w:t xml:space="preserve"> </w:t>
      </w:r>
    </w:p>
    <w:tbl>
      <w:tblPr>
        <w:tblStyle w:val="22"/>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759478D7">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27F510">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27A7CA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7894D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3EDAC5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F6786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A4E3C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0E62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AD2926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0FF8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35E6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A28A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5670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D146F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E966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8D2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2F1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0202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64BD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C958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49C9A3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3B48926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BB93D1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1CB3B6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423C7B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752121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363DFC9">
      <w:pPr>
        <w:pStyle w:val="21"/>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lang w:val="en-US" w:eastAsia="zh-CN"/>
        </w:rPr>
        <w:t xml:space="preserve">第三部分  </w:t>
      </w:r>
      <w:r>
        <w:rPr>
          <w:rStyle w:val="33"/>
          <w:rFonts w:hint="eastAsia" w:ascii="宋体" w:hAnsi="宋体" w:eastAsia="宋体" w:cs="宋体"/>
          <w:b/>
          <w:color w:val="000000"/>
          <w:kern w:val="0"/>
          <w:sz w:val="32"/>
          <w:szCs w:val="32"/>
          <w:highlight w:val="none"/>
          <w:lang w:eastAsia="zh-CN"/>
        </w:rPr>
        <w:t>商务和技术偏差</w:t>
      </w:r>
      <w:r>
        <w:rPr>
          <w:rStyle w:val="33"/>
          <w:rFonts w:hint="eastAsia" w:ascii="宋体" w:hAnsi="宋体" w:eastAsia="宋体" w:cs="宋体"/>
          <w:b/>
          <w:color w:val="000000"/>
          <w:kern w:val="0"/>
          <w:sz w:val="32"/>
          <w:szCs w:val="32"/>
          <w:highlight w:val="none"/>
        </w:rPr>
        <w:t>表</w:t>
      </w:r>
    </w:p>
    <w:p w14:paraId="58B7E5A2">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秦都院区污水处理站维修服务项目</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SZRFYZB202503-080</w:t>
      </w:r>
    </w:p>
    <w:tbl>
      <w:tblPr>
        <w:tblStyle w:val="22"/>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4663924"/>
      <w:bookmarkStart w:id="13" w:name="_Toc188808838"/>
      <w:bookmarkStart w:id="14" w:name="_Toc193126887"/>
      <w:bookmarkStart w:id="15" w:name="_Toc193187103"/>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041DEF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193126888"/>
      <w:bookmarkStart w:id="17" w:name="_Toc47262069"/>
      <w:bookmarkStart w:id="18" w:name="_Toc188808839"/>
      <w:bookmarkStart w:id="19" w:name="_Toc48791235"/>
      <w:bookmarkStart w:id="20" w:name="_Toc49019236"/>
      <w:bookmarkStart w:id="21" w:name="_Toc49019497"/>
      <w:bookmarkStart w:id="22" w:name="_Toc47418938"/>
      <w:bookmarkStart w:id="23" w:name="_Toc193187104"/>
      <w:bookmarkStart w:id="24" w:name="_Toc47261690"/>
      <w:bookmarkStart w:id="25" w:name="_Toc194663925"/>
      <w:bookmarkStart w:id="26" w:name="_Toc47261885"/>
      <w:bookmarkStart w:id="27" w:name="_Toc47418255"/>
      <w:bookmarkStart w:id="28" w:name="_Toc47418731"/>
      <w:bookmarkStart w:id="29" w:name="_Toc48995851"/>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3"/>
          <w:rFonts w:hint="eastAsia" w:ascii="宋体" w:hAnsi="宋体" w:cs="宋体"/>
          <w:b/>
          <w:color w:val="000000"/>
          <w:kern w:val="0"/>
          <w:sz w:val="32"/>
          <w:szCs w:val="32"/>
          <w:highlight w:val="none"/>
          <w:lang w:val="en-US" w:eastAsia="zh-CN"/>
        </w:rPr>
        <w:t xml:space="preserve"> 合同条款响应</w:t>
      </w:r>
    </w:p>
    <w:p w14:paraId="2F346B33">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7"/>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7"/>
        <w:rPr>
          <w:rFonts w:hint="eastAsia" w:ascii="宋体" w:hAnsi="宋体" w:eastAsia="宋体" w:cs="宋体"/>
          <w:sz w:val="24"/>
          <w:szCs w:val="24"/>
          <w:lang w:val="en-US" w:eastAsia="zh-CN"/>
        </w:rPr>
      </w:pPr>
    </w:p>
    <w:p w14:paraId="10D7F8D7">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221D72E">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五</w:t>
      </w:r>
      <w:r>
        <w:rPr>
          <w:rStyle w:val="33"/>
          <w:rFonts w:hint="eastAsia" w:ascii="宋体" w:hAnsi="宋体" w:eastAsia="宋体" w:cs="宋体"/>
          <w:b/>
          <w:color w:val="000000"/>
          <w:kern w:val="0"/>
          <w:sz w:val="32"/>
          <w:szCs w:val="32"/>
          <w:highlight w:val="none"/>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eastAsia="zh-CN"/>
        </w:rPr>
        <w:t>供应商</w:t>
      </w:r>
      <w:r>
        <w:rPr>
          <w:rStyle w:val="33"/>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3E16E57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5E0614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DFDBF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5F4E23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0C1974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DD605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第</w:t>
      </w:r>
      <w:r>
        <w:rPr>
          <w:rStyle w:val="33"/>
          <w:rFonts w:hint="eastAsia" w:ascii="宋体" w:hAnsi="宋体" w:cs="宋体"/>
          <w:b/>
          <w:color w:val="000000"/>
          <w:kern w:val="0"/>
          <w:sz w:val="32"/>
          <w:szCs w:val="32"/>
          <w:highlight w:val="none"/>
          <w:lang w:val="en-US" w:eastAsia="zh-CN"/>
        </w:rPr>
        <w:t>六</w:t>
      </w:r>
      <w:r>
        <w:rPr>
          <w:rStyle w:val="33"/>
          <w:rFonts w:hint="eastAsia" w:ascii="宋体" w:hAnsi="宋体" w:eastAsia="宋体" w:cs="宋体"/>
          <w:b/>
          <w:color w:val="000000"/>
          <w:kern w:val="0"/>
          <w:sz w:val="32"/>
          <w:szCs w:val="32"/>
          <w:highlight w:val="none"/>
          <w:lang w:val="en-US" w:eastAsia="zh-CN"/>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（一）</w:t>
      </w:r>
      <w:r>
        <w:rPr>
          <w:rStyle w:val="33"/>
          <w:rFonts w:hint="eastAsia" w:ascii="宋体" w:hAnsi="宋体" w:eastAsia="宋体" w:cs="宋体"/>
          <w:color w:val="000000"/>
          <w:kern w:val="0"/>
          <w:sz w:val="24"/>
          <w:szCs w:val="24"/>
          <w:highlight w:val="none"/>
        </w:rPr>
        <w:t>营业执照等主体资格证明文件</w:t>
      </w:r>
      <w:r>
        <w:rPr>
          <w:rStyle w:val="33"/>
          <w:rFonts w:hint="eastAsia" w:ascii="宋体" w:hAnsi="宋体" w:cs="宋体"/>
          <w:color w:val="000000"/>
          <w:kern w:val="0"/>
          <w:sz w:val="24"/>
          <w:szCs w:val="24"/>
          <w:highlight w:val="none"/>
          <w:lang w:val="en-US" w:eastAsia="zh-CN"/>
        </w:rPr>
        <w:t>及</w:t>
      </w:r>
      <w:r>
        <w:rPr>
          <w:rStyle w:val="33"/>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7"/>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BEE0842">
      <w:pPr>
        <w:pStyle w:val="7"/>
        <w:rPr>
          <w:rFonts w:hint="eastAsia"/>
        </w:rPr>
      </w:pPr>
    </w:p>
    <w:p w14:paraId="24044F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4"/>
        <w:jc w:val="both"/>
        <w:rPr>
          <w:rFonts w:cs="Times New Roman"/>
          <w:color w:val="000000" w:themeColor="text1"/>
          <w:highlight w:val="none"/>
          <w14:textFill>
            <w14:solidFill>
              <w14:schemeClr w14:val="tx1"/>
            </w14:solidFill>
          </w14:textFill>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二</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法定代表人授权委托书</w:t>
      </w:r>
    </w:p>
    <w:p w14:paraId="1ACE389C">
      <w:pPr>
        <w:pStyle w:val="44"/>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2408"/>
      <w:bookmarkStart w:id="31" w:name="_Toc13312"/>
      <w:bookmarkStart w:id="32" w:name="_Toc15591"/>
      <w:bookmarkStart w:id="33" w:name="_Toc19326"/>
      <w:bookmarkStart w:id="34" w:name="_Toc18044"/>
      <w:bookmarkStart w:id="35" w:name="_Toc1748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5624"/>
      <w:bookmarkStart w:id="38" w:name="_Toc2556"/>
      <w:bookmarkStart w:id="39" w:name="_Toc15794"/>
      <w:bookmarkStart w:id="40" w:name="_Toc7264"/>
      <w:bookmarkStart w:id="41" w:name="_Toc4050"/>
      <w:bookmarkStart w:id="42" w:name="_Toc724"/>
      <w:bookmarkStart w:id="43" w:name="_Toc2687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秦都院区污水处理站维修服务项目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SZRFYZB202503-080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47212D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p>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三</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信用记录</w:t>
      </w:r>
    </w:p>
    <w:p w14:paraId="2B799249">
      <w:pPr>
        <w:pStyle w:val="44"/>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3854"/>
      <w:bookmarkStart w:id="45" w:name="_Toc6456"/>
      <w:bookmarkStart w:id="46" w:name="_Toc23408"/>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秦都院区污水处理站维修服务项目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SZRFYZB202503-080</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7"/>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7"/>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20"/>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20"/>
        <w:rPr>
          <w:rFonts w:hint="eastAsia" w:ascii="宋体" w:hAnsi="宋体" w:eastAsia="宋体" w:cs="宋体"/>
          <w:color w:val="000000" w:themeColor="text1"/>
          <w:sz w:val="24"/>
          <w:szCs w:val="24"/>
          <w:highlight w:val="none"/>
          <w14:textFill>
            <w14:solidFill>
              <w14:schemeClr w14:val="tx1"/>
            </w14:solidFill>
          </w14:textFill>
        </w:rPr>
      </w:pPr>
    </w:p>
    <w:p w14:paraId="770F2E3D">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四</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控股管理关系</w:t>
      </w:r>
    </w:p>
    <w:p w14:paraId="75F65447">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264"/>
      <w:bookmarkStart w:id="48" w:name="_Toc23076"/>
      <w:bookmarkStart w:id="49" w:name="_Toc25983"/>
      <w:bookmarkStart w:id="50" w:name="_Toc14564"/>
      <w:bookmarkStart w:id="51" w:name="_Toc13090"/>
      <w:bookmarkStart w:id="52" w:name="_Toc15773"/>
      <w:bookmarkStart w:id="53" w:name="_Toc12007"/>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1"/>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1260"/>
      <w:bookmarkStart w:id="55" w:name="_Toc11275"/>
      <w:bookmarkStart w:id="56" w:name="_Toc22023"/>
      <w:bookmarkStart w:id="57" w:name="_Toc952"/>
      <w:bookmarkStart w:id="58" w:name="_Toc10651"/>
      <w:bookmarkStart w:id="59" w:name="_Toc15131"/>
      <w:bookmarkStart w:id="60" w:name="_Toc267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4"/>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4"/>
        <w:ind w:firstLine="0"/>
        <w:rPr>
          <w:rFonts w:ascii="仿宋" w:hAnsi="仿宋" w:eastAsia="仿宋" w:cs="仿宋"/>
          <w:color w:val="000000" w:themeColor="text1"/>
          <w:highlight w:val="none"/>
          <w14:textFill>
            <w14:solidFill>
              <w14:schemeClr w14:val="tx1"/>
            </w14:solidFill>
          </w14:textFill>
        </w:rPr>
      </w:pPr>
    </w:p>
    <w:p w14:paraId="7C1C2A65">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1"/>
        <w:numPr>
          <w:ilvl w:val="0"/>
          <w:numId w:val="0"/>
        </w:numPr>
        <w:ind w:left="0" w:leftChars="0" w:firstLine="480" w:firstLineChars="200"/>
        <w:rPr>
          <w:rStyle w:val="33"/>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3"/>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秦都院区污水处理站维修服务项目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SZRFYZB202503-080</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7"/>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7"/>
        <w:rPr>
          <w:rFonts w:hint="eastAsia"/>
        </w:rPr>
      </w:pPr>
    </w:p>
    <w:p w14:paraId="7CB1DAA6">
      <w:pPr>
        <w:pStyle w:val="4"/>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34DC5561">
      <w:pPr>
        <w:pStyle w:val="21"/>
        <w:ind w:left="0" w:leftChars="0" w:firstLine="480" w:firstLineChars="200"/>
        <w:rPr>
          <w:rStyle w:val="33"/>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50DA9D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3"/>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cs="宋体"/>
          <w:color w:val="000000"/>
          <w:kern w:val="0"/>
          <w:sz w:val="24"/>
          <w:szCs w:val="24"/>
          <w:highlight w:val="none"/>
          <w:lang w:eastAsia="zh-CN"/>
        </w:rPr>
        <w:t>（</w:t>
      </w:r>
      <w:r>
        <w:rPr>
          <w:rStyle w:val="33"/>
          <w:rFonts w:hint="eastAsia" w:ascii="宋体" w:hAnsi="宋体" w:cs="宋体"/>
          <w:color w:val="000000"/>
          <w:kern w:val="0"/>
          <w:sz w:val="24"/>
          <w:szCs w:val="24"/>
          <w:highlight w:val="none"/>
          <w:lang w:val="en-US" w:eastAsia="zh-CN"/>
        </w:rPr>
        <w:t>六</w:t>
      </w:r>
      <w:r>
        <w:rPr>
          <w:rStyle w:val="33"/>
          <w:rFonts w:hint="eastAsia" w:ascii="宋体" w:hAnsi="宋体" w:cs="宋体"/>
          <w:color w:val="000000"/>
          <w:kern w:val="0"/>
          <w:sz w:val="24"/>
          <w:szCs w:val="24"/>
          <w:highlight w:val="none"/>
          <w:lang w:eastAsia="zh-CN"/>
        </w:rPr>
        <w:t>）</w:t>
      </w:r>
      <w:r>
        <w:rPr>
          <w:rStyle w:val="33"/>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七</w:t>
      </w:r>
      <w:r>
        <w:rPr>
          <w:rStyle w:val="33"/>
          <w:rFonts w:hint="eastAsia" w:ascii="宋体" w:hAnsi="宋体" w:eastAsia="宋体" w:cs="宋体"/>
          <w:b/>
          <w:color w:val="000000"/>
          <w:kern w:val="0"/>
          <w:sz w:val="32"/>
          <w:szCs w:val="32"/>
          <w:highlight w:val="none"/>
        </w:rPr>
        <w:t>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投标</w:t>
      </w:r>
      <w:r>
        <w:rPr>
          <w:rStyle w:val="33"/>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2733D3B0">
      <w:pPr>
        <w:pStyle w:val="14"/>
        <w:rPr>
          <w:rFonts w:hint="eastAsia" w:ascii="宋体" w:hAnsi="宋体" w:eastAsia="宋体" w:cs="宋体"/>
          <w:bCs/>
          <w:sz w:val="24"/>
          <w:szCs w:val="24"/>
          <w:highlight w:val="none"/>
        </w:rPr>
      </w:pPr>
    </w:p>
    <w:p w14:paraId="433D1B63">
      <w:pPr>
        <w:pStyle w:val="14"/>
        <w:rPr>
          <w:rFonts w:hint="eastAsia" w:ascii="宋体" w:hAnsi="宋体" w:eastAsia="宋体" w:cs="宋体"/>
          <w:bCs/>
          <w:sz w:val="24"/>
          <w:szCs w:val="24"/>
          <w:highlight w:val="none"/>
        </w:rPr>
      </w:pPr>
    </w:p>
    <w:p w14:paraId="6BED52A7">
      <w:pPr>
        <w:pStyle w:val="14"/>
        <w:rPr>
          <w:rFonts w:hint="eastAsia" w:ascii="宋体" w:hAnsi="宋体" w:eastAsia="宋体" w:cs="宋体"/>
          <w:bCs/>
          <w:sz w:val="24"/>
          <w:szCs w:val="24"/>
          <w:highlight w:val="none"/>
        </w:rPr>
      </w:pPr>
    </w:p>
    <w:p w14:paraId="49685341">
      <w:pPr>
        <w:pStyle w:val="14"/>
        <w:rPr>
          <w:rFonts w:hint="eastAsia" w:ascii="宋体" w:hAnsi="宋体" w:eastAsia="宋体" w:cs="宋体"/>
          <w:bCs/>
          <w:sz w:val="24"/>
          <w:szCs w:val="24"/>
          <w:highlight w:val="none"/>
        </w:rPr>
      </w:pPr>
    </w:p>
    <w:p w14:paraId="4AAB3078">
      <w:pPr>
        <w:pStyle w:val="14"/>
        <w:rPr>
          <w:rFonts w:hint="eastAsia" w:ascii="宋体" w:hAnsi="宋体" w:eastAsia="宋体" w:cs="宋体"/>
          <w:bCs/>
          <w:sz w:val="24"/>
          <w:szCs w:val="24"/>
          <w:highlight w:val="none"/>
        </w:rPr>
      </w:pPr>
    </w:p>
    <w:p w14:paraId="488F776D">
      <w:pPr>
        <w:pStyle w:val="14"/>
        <w:rPr>
          <w:rFonts w:hint="eastAsia" w:ascii="宋体" w:hAnsi="宋体" w:eastAsia="宋体" w:cs="宋体"/>
          <w:bCs/>
          <w:sz w:val="24"/>
          <w:szCs w:val="24"/>
          <w:highlight w:val="none"/>
        </w:rPr>
      </w:pPr>
    </w:p>
    <w:p w14:paraId="5FF86B6A">
      <w:pPr>
        <w:pStyle w:val="14"/>
        <w:rPr>
          <w:rFonts w:hint="eastAsia" w:ascii="宋体" w:hAnsi="宋体" w:eastAsia="宋体" w:cs="宋体"/>
          <w:bCs/>
          <w:sz w:val="24"/>
          <w:szCs w:val="24"/>
          <w:highlight w:val="none"/>
        </w:rPr>
      </w:pPr>
    </w:p>
    <w:p w14:paraId="0B49CE8E">
      <w:pPr>
        <w:pStyle w:val="14"/>
        <w:rPr>
          <w:rFonts w:hint="eastAsia" w:ascii="宋体" w:hAnsi="宋体" w:eastAsia="宋体" w:cs="宋体"/>
          <w:bCs/>
          <w:sz w:val="24"/>
          <w:szCs w:val="24"/>
          <w:highlight w:val="none"/>
        </w:rPr>
      </w:pPr>
    </w:p>
    <w:p w14:paraId="43150D73">
      <w:pPr>
        <w:pStyle w:val="14"/>
        <w:rPr>
          <w:rFonts w:hint="eastAsia" w:ascii="宋体" w:hAnsi="宋体" w:eastAsia="宋体" w:cs="宋体"/>
          <w:bCs/>
          <w:sz w:val="24"/>
          <w:szCs w:val="24"/>
          <w:highlight w:val="none"/>
        </w:rPr>
      </w:pPr>
    </w:p>
    <w:p w14:paraId="730EB4FB">
      <w:pPr>
        <w:pStyle w:val="14"/>
        <w:rPr>
          <w:rFonts w:hint="eastAsia" w:ascii="宋体" w:hAnsi="宋体" w:eastAsia="宋体" w:cs="宋体"/>
          <w:bCs/>
          <w:sz w:val="24"/>
          <w:szCs w:val="24"/>
          <w:highlight w:val="none"/>
        </w:rPr>
      </w:pPr>
    </w:p>
    <w:p w14:paraId="1BCDDCE6">
      <w:pPr>
        <w:pStyle w:val="14"/>
        <w:rPr>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2EC511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w:t>
      </w:r>
      <w:r>
        <w:rPr>
          <w:rFonts w:hint="eastAsia" w:ascii="宋体" w:hAnsi="宋体" w:cs="宋体"/>
          <w:b/>
          <w:kern w:val="2"/>
          <w:sz w:val="32"/>
          <w:szCs w:val="32"/>
          <w:highlight w:val="none"/>
          <w:lang w:val="en-US" w:eastAsia="zh-CN" w:bidi="ar-SA"/>
        </w:rPr>
        <w:t>八</w:t>
      </w:r>
      <w:r>
        <w:rPr>
          <w:rFonts w:hint="eastAsia" w:ascii="宋体" w:hAnsi="宋体" w:eastAsia="宋体" w:cs="宋体"/>
          <w:b/>
          <w:kern w:val="2"/>
          <w:sz w:val="32"/>
          <w:szCs w:val="32"/>
          <w:highlight w:val="none"/>
          <w:lang w:val="en-US" w:eastAsia="zh-CN" w:bidi="ar-SA"/>
        </w:rPr>
        <w:t>章</w:t>
      </w:r>
      <w:r>
        <w:rPr>
          <w:rFonts w:hint="eastAsia" w:ascii="宋体" w:hAnsi="宋体" w:cs="宋体"/>
          <w:b/>
          <w:kern w:val="2"/>
          <w:sz w:val="32"/>
          <w:szCs w:val="32"/>
          <w:highlight w:val="none"/>
          <w:lang w:val="en-US" w:eastAsia="zh-CN" w:bidi="ar-SA"/>
        </w:rPr>
        <w:t xml:space="preserve">  密封袋封面</w:t>
      </w:r>
      <w:r>
        <w:rPr>
          <w:rFonts w:hint="eastAsia" w:ascii="宋体" w:hAnsi="宋体" w:eastAsia="宋体" w:cs="宋体"/>
          <w:b/>
          <w:kern w:val="2"/>
          <w:sz w:val="32"/>
          <w:szCs w:val="32"/>
          <w:highlight w:val="none"/>
          <w:lang w:val="en-US" w:eastAsia="zh-CN" w:bidi="ar-SA"/>
        </w:rPr>
        <w:t>格式</w:t>
      </w:r>
    </w:p>
    <w:p w14:paraId="4BB75DD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SZRFYZB202503-080</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13CA34E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92E493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169E594">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09813F91">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D439D5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23B41F1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秦都院区污水处理站维修服务项目</w:t>
      </w:r>
    </w:p>
    <w:p w14:paraId="3402C157">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121B22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5545076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2CBF1A7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9B1444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5ACB653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4544CD5">
      <w:pPr>
        <w:pStyle w:val="14"/>
        <w:rPr>
          <w:rFonts w:hint="eastAsia"/>
        </w:rPr>
      </w:pPr>
    </w:p>
    <w:p w14:paraId="21142C88">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6A9AA4B">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7D50B03F">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1A4B8569">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cs="宋体"/>
          <w:b/>
          <w:sz w:val="28"/>
          <w:szCs w:val="28"/>
          <w:highlight w:val="none"/>
          <w:lang w:val="en-US" w:eastAsia="zh-CN"/>
        </w:rPr>
      </w:pPr>
    </w:p>
    <w:p w14:paraId="576D57FE">
      <w:pPr>
        <w:pStyle w:val="14"/>
        <w:rPr>
          <w:rStyle w:val="33"/>
          <w:rFonts w:hint="eastAsia" w:ascii="宋体" w:hAnsi="宋体" w:cs="宋体"/>
          <w:b/>
          <w:sz w:val="28"/>
          <w:szCs w:val="28"/>
          <w:highlight w:val="none"/>
          <w:lang w:val="en-US" w:eastAsia="zh-CN"/>
        </w:rPr>
      </w:pPr>
    </w:p>
    <w:p w14:paraId="2C4BB360">
      <w:pPr>
        <w:keepNext w:val="0"/>
        <w:keepLines w:val="0"/>
        <w:pageBreakBefore w:val="0"/>
        <w:kinsoku/>
        <w:wordWrap/>
        <w:overflowPunct/>
        <w:topLinePunct w:val="0"/>
        <w:bidi w:val="0"/>
        <w:snapToGrid w:val="0"/>
        <w:spacing w:line="360" w:lineRule="auto"/>
        <w:ind w:right="0"/>
        <w:jc w:val="center"/>
        <w:textAlignment w:val="auto"/>
        <w:rPr>
          <w:rFonts w:hint="eastAsia" w:ascii="宋体" w:hAnsi="宋体" w:eastAsia="宋体" w:cs="宋体"/>
          <w:b/>
          <w:sz w:val="48"/>
          <w:szCs w:val="48"/>
          <w:highlight w:val="none"/>
        </w:rPr>
      </w:pPr>
      <w:r>
        <w:rPr>
          <w:rStyle w:val="33"/>
          <w:rFonts w:hint="eastAsia" w:ascii="宋体" w:hAnsi="宋体" w:cs="宋体"/>
          <w:b/>
          <w:sz w:val="48"/>
          <w:szCs w:val="48"/>
          <w:highlight w:val="none"/>
          <w:lang w:val="en-US" w:eastAsia="zh-CN"/>
        </w:rPr>
        <w:t>不得于</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年</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月</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日</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时</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14"/>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A330">
    <w:pPr>
      <w:pStyle w:val="14"/>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1E35D25B">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lang w:val="en-US" w:eastAsia="zh-CN"/>
                            </w:rPr>
                            <w:t>7</w:t>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67.55pt;mso-position-horizontal:center;mso-position-horizontal-relative:margin;mso-wrap-style:none;z-index:251661312;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NDeUTSAAAABAEAAA8AAAAAAAAAAQAgAAAAIgAAAGRycy9k&#10;b3ducmV2LnhtbFBLAQIUABQAAAAIAIdO4kBADv79zwEAAJcDAAAOAAAAAAAAAAEAIAAAACEBAABk&#10;cnMvZTJvRG9jLnhtbFBLBQYAAAAABgAGAFkBAABiBQAAAAA=&#10;">
              <v:fill on="f" focussize="0,0"/>
              <v:stroke on="f"/>
              <v:imagedata o:title=""/>
              <o:lock v:ext="edit" aspectratio="f"/>
              <v:textbox inset="0mm,0mm,0mm,0mm" style="mso-fit-shape-to-text:t;">
                <w:txbxContent>
                  <w:p w14:paraId="1E35D25B">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lang w:val="en-US" w:eastAsia="zh-CN"/>
                      </w:rPr>
                      <w:t>7</w:t>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秦都院区污水处理站维修服务项目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abstractNum w:abstractNumId="1">
    <w:nsid w:val="FEF6C689"/>
    <w:multiLevelType w:val="singleLevel"/>
    <w:tmpl w:val="FEF6C68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2F72F2B"/>
    <w:rsid w:val="039B74C3"/>
    <w:rsid w:val="03D00EB0"/>
    <w:rsid w:val="03DA5946"/>
    <w:rsid w:val="045700A4"/>
    <w:rsid w:val="0469746C"/>
    <w:rsid w:val="046F5FB3"/>
    <w:rsid w:val="048B7A0B"/>
    <w:rsid w:val="04FE7E99"/>
    <w:rsid w:val="05242ACF"/>
    <w:rsid w:val="056F3ACA"/>
    <w:rsid w:val="05B47BAE"/>
    <w:rsid w:val="060C49AE"/>
    <w:rsid w:val="0639341C"/>
    <w:rsid w:val="066A5E25"/>
    <w:rsid w:val="077E5F00"/>
    <w:rsid w:val="085F1064"/>
    <w:rsid w:val="08907C1F"/>
    <w:rsid w:val="08F65BCD"/>
    <w:rsid w:val="08F8348E"/>
    <w:rsid w:val="09063C58"/>
    <w:rsid w:val="090E0B90"/>
    <w:rsid w:val="096E3BF7"/>
    <w:rsid w:val="09907300"/>
    <w:rsid w:val="09A73FC7"/>
    <w:rsid w:val="0AA720FE"/>
    <w:rsid w:val="0AAF3B94"/>
    <w:rsid w:val="0AD43A04"/>
    <w:rsid w:val="0B0A6BB0"/>
    <w:rsid w:val="0B280A1E"/>
    <w:rsid w:val="0BBF6171"/>
    <w:rsid w:val="0C0345EF"/>
    <w:rsid w:val="0C0D01E5"/>
    <w:rsid w:val="0C5C0688"/>
    <w:rsid w:val="0C9A631E"/>
    <w:rsid w:val="0D8E2213"/>
    <w:rsid w:val="0DB321DB"/>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113153"/>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1FD06A50"/>
    <w:rsid w:val="205D1D58"/>
    <w:rsid w:val="20622E8C"/>
    <w:rsid w:val="206623B0"/>
    <w:rsid w:val="209A66E1"/>
    <w:rsid w:val="2152344A"/>
    <w:rsid w:val="2216246C"/>
    <w:rsid w:val="222C3071"/>
    <w:rsid w:val="22577684"/>
    <w:rsid w:val="22BC6F78"/>
    <w:rsid w:val="243831A0"/>
    <w:rsid w:val="246747C9"/>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8671BB"/>
    <w:rsid w:val="2A9065A0"/>
    <w:rsid w:val="2AC56216"/>
    <w:rsid w:val="2B160772"/>
    <w:rsid w:val="2C3B15FD"/>
    <w:rsid w:val="2CF55279"/>
    <w:rsid w:val="2D192D0A"/>
    <w:rsid w:val="2D5B77E5"/>
    <w:rsid w:val="2EDB11AD"/>
    <w:rsid w:val="2F137503"/>
    <w:rsid w:val="2F8855E0"/>
    <w:rsid w:val="2FBA1591"/>
    <w:rsid w:val="300A77A1"/>
    <w:rsid w:val="30327416"/>
    <w:rsid w:val="309131DC"/>
    <w:rsid w:val="31525135"/>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675AE8"/>
    <w:rsid w:val="3DE94093"/>
    <w:rsid w:val="3E0427FF"/>
    <w:rsid w:val="3E1B6A1F"/>
    <w:rsid w:val="3E2C5397"/>
    <w:rsid w:val="3E5B225C"/>
    <w:rsid w:val="3FC50572"/>
    <w:rsid w:val="3FF73C5F"/>
    <w:rsid w:val="402B37FA"/>
    <w:rsid w:val="405B6086"/>
    <w:rsid w:val="40663513"/>
    <w:rsid w:val="40E92655"/>
    <w:rsid w:val="41FD6188"/>
    <w:rsid w:val="42C43BC6"/>
    <w:rsid w:val="42CB7C52"/>
    <w:rsid w:val="42DB25F4"/>
    <w:rsid w:val="42EE156B"/>
    <w:rsid w:val="43012105"/>
    <w:rsid w:val="432A22FC"/>
    <w:rsid w:val="437215DF"/>
    <w:rsid w:val="437913FF"/>
    <w:rsid w:val="4385131F"/>
    <w:rsid w:val="446B2CF5"/>
    <w:rsid w:val="44F50DE2"/>
    <w:rsid w:val="45016DC9"/>
    <w:rsid w:val="459C4CE0"/>
    <w:rsid w:val="45B87CDC"/>
    <w:rsid w:val="45C945EF"/>
    <w:rsid w:val="45C9667C"/>
    <w:rsid w:val="464D0EE3"/>
    <w:rsid w:val="4661488C"/>
    <w:rsid w:val="46840079"/>
    <w:rsid w:val="46850859"/>
    <w:rsid w:val="46B21187"/>
    <w:rsid w:val="46D54EE3"/>
    <w:rsid w:val="46E120C5"/>
    <w:rsid w:val="4727792E"/>
    <w:rsid w:val="476924A8"/>
    <w:rsid w:val="47AD00CB"/>
    <w:rsid w:val="48245C60"/>
    <w:rsid w:val="48E92BDF"/>
    <w:rsid w:val="496D062C"/>
    <w:rsid w:val="4A0A4480"/>
    <w:rsid w:val="4AC5484B"/>
    <w:rsid w:val="4B390CB0"/>
    <w:rsid w:val="4B823783"/>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9F142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99A06F6"/>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5FA4310E"/>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98C2697"/>
    <w:rsid w:val="6A053FC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34566C"/>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053C6A"/>
    <w:rsid w:val="784C7B05"/>
    <w:rsid w:val="7879089F"/>
    <w:rsid w:val="79A25289"/>
    <w:rsid w:val="7A706BAD"/>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31"/>
    <w:qFormat/>
    <w:uiPriority w:val="0"/>
    <w:pPr>
      <w:jc w:val="left"/>
    </w:pPr>
  </w:style>
  <w:style w:type="paragraph" w:styleId="9">
    <w:name w:val="Body Text"/>
    <w:basedOn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left="560"/>
    </w:pPr>
    <w:rPr>
      <w:rFonts w:ascii="Times New Roman"/>
      <w:kern w:val="2"/>
      <w:sz w:val="28"/>
    </w:rPr>
  </w:style>
  <w:style w:type="paragraph" w:styleId="17">
    <w:name w:val="Body Text 2"/>
    <w:basedOn w:val="1"/>
    <w:qFormat/>
    <w:uiPriority w:val="0"/>
    <w:pPr>
      <w:jc w:val="center"/>
    </w:pPr>
    <w:rPr>
      <w:b/>
      <w:spacing w:val="-20"/>
      <w:w w:val="130"/>
      <w:sz w:val="48"/>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8"/>
    <w:next w:val="8"/>
    <w:link w:val="32"/>
    <w:qFormat/>
    <w:uiPriority w:val="0"/>
    <w:rPr>
      <w:b/>
      <w:bCs/>
    </w:rPr>
  </w:style>
  <w:style w:type="paragraph" w:styleId="20">
    <w:name w:val="Body Text First Indent"/>
    <w:basedOn w:val="9"/>
    <w:next w:val="21"/>
    <w:qFormat/>
    <w:uiPriority w:val="99"/>
    <w:pPr>
      <w:spacing w:line="240" w:lineRule="auto"/>
      <w:ind w:firstLine="420" w:firstLineChars="100"/>
    </w:pPr>
    <w:rPr>
      <w:rFonts w:ascii="Times New Roman" w:hAnsi="Times New Roman" w:cs="Times New Roman"/>
      <w:sz w:val="18"/>
      <w:szCs w:val="18"/>
    </w:rPr>
  </w:style>
  <w:style w:type="paragraph" w:styleId="21">
    <w:name w:val="Body Text First Indent 2"/>
    <w:basedOn w:val="10"/>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qFormat/>
    <w:uiPriority w:val="0"/>
    <w:rPr>
      <w:sz w:val="21"/>
      <w:szCs w:val="21"/>
    </w:rPr>
  </w:style>
  <w:style w:type="character" w:customStyle="1" w:styleId="28">
    <w:name w:val="页眉 Char"/>
    <w:link w:val="15"/>
    <w:qFormat/>
    <w:uiPriority w:val="0"/>
    <w:rPr>
      <w:kern w:val="2"/>
      <w:sz w:val="18"/>
      <w:szCs w:val="18"/>
    </w:rPr>
  </w:style>
  <w:style w:type="character" w:customStyle="1" w:styleId="29">
    <w:name w:val="页脚 Char"/>
    <w:link w:val="14"/>
    <w:qFormat/>
    <w:uiPriority w:val="0"/>
    <w:rPr>
      <w:kern w:val="2"/>
      <w:sz w:val="18"/>
      <w:szCs w:val="18"/>
    </w:rPr>
  </w:style>
  <w:style w:type="paragraph" w:customStyle="1" w:styleId="30">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批注文字 Char"/>
    <w:link w:val="8"/>
    <w:qFormat/>
    <w:uiPriority w:val="0"/>
    <w:rPr>
      <w:kern w:val="2"/>
      <w:sz w:val="21"/>
      <w:szCs w:val="24"/>
    </w:rPr>
  </w:style>
  <w:style w:type="character" w:customStyle="1" w:styleId="32">
    <w:name w:val="批注主题 Char"/>
    <w:link w:val="19"/>
    <w:qFormat/>
    <w:uiPriority w:val="0"/>
    <w:rPr>
      <w:b/>
      <w:bCs/>
      <w:kern w:val="2"/>
      <w:sz w:val="21"/>
      <w:szCs w:val="24"/>
    </w:rPr>
  </w:style>
  <w:style w:type="character" w:customStyle="1" w:styleId="33">
    <w:name w:val="NormalCharacter"/>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link w:val="2"/>
    <w:qFormat/>
    <w:uiPriority w:val="0"/>
    <w:rPr>
      <w:rFonts w:ascii="Times New Roman" w:hAnsi="Times New Roman" w:eastAsia="楷体_GB2312"/>
      <w:b/>
      <w:kern w:val="44"/>
      <w:sz w:val="44"/>
      <w:szCs w:val="20"/>
    </w:rPr>
  </w:style>
  <w:style w:type="paragraph" w:customStyle="1" w:styleId="36">
    <w:name w:val="PlainText"/>
    <w:basedOn w:val="1"/>
    <w:qFormat/>
    <w:uiPriority w:val="0"/>
    <w:pPr>
      <w:spacing w:line="324" w:lineRule="auto"/>
    </w:pPr>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2"/>
      <w:szCs w:val="22"/>
      <w:u w:val="none"/>
    </w:rPr>
  </w:style>
  <w:style w:type="paragraph" w:customStyle="1" w:styleId="38">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9">
    <w:name w:val="正文（缩进 2 字符）"/>
    <w:basedOn w:val="1"/>
    <w:qFormat/>
    <w:uiPriority w:val="99"/>
    <w:pPr>
      <w:ind w:firstLine="200" w:firstLineChars="200"/>
    </w:pPr>
  </w:style>
  <w:style w:type="paragraph" w:customStyle="1" w:styleId="40">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font11"/>
    <w:basedOn w:val="24"/>
    <w:qFormat/>
    <w:uiPriority w:val="0"/>
    <w:rPr>
      <w:rFonts w:hint="eastAsia" w:ascii="宋体" w:hAnsi="宋体" w:eastAsia="宋体" w:cs="宋体"/>
      <w:color w:val="000000"/>
      <w:sz w:val="24"/>
      <w:szCs w:val="24"/>
      <w:u w:val="none"/>
    </w:rPr>
  </w:style>
  <w:style w:type="character" w:customStyle="1" w:styleId="43">
    <w:name w:val="font31"/>
    <w:basedOn w:val="24"/>
    <w:qFormat/>
    <w:uiPriority w:val="0"/>
    <w:rPr>
      <w:rFonts w:hint="eastAsia" w:ascii="宋体" w:hAnsi="宋体" w:eastAsia="宋体" w:cs="宋体"/>
      <w:b/>
      <w:bCs/>
      <w:color w:val="000000"/>
      <w:sz w:val="24"/>
      <w:szCs w:val="24"/>
      <w:u w:val="none"/>
    </w:rPr>
  </w:style>
  <w:style w:type="paragraph" w:customStyle="1" w:styleId="44">
    <w:name w:val="标题 3（投标文件）"/>
    <w:basedOn w:val="6"/>
    <w:qFormat/>
    <w:uiPriority w:val="99"/>
    <w:pPr>
      <w:jc w:val="left"/>
    </w:pPr>
  </w:style>
  <w:style w:type="paragraph" w:customStyle="1" w:styleId="45">
    <w:name w:val="列出段落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36</Pages>
  <Words>13872</Words>
  <Characters>14526</Characters>
  <Paragraphs>503</Paragraphs>
  <TotalTime>1</TotalTime>
  <ScaleCrop>false</ScaleCrop>
  <LinksUpToDate>false</LinksUpToDate>
  <CharactersWithSpaces>15461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2025-04-09T06:32:25Z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01C1BE00164C4BDEA6D49C098FD8DA52_13</vt:lpwstr>
  </property>
  <property fmtid="{D5CDD505-2E9C-101B-9397-08002B2CF9AE}" pid="4" name="KSOTemplateDocerSaveRecord">
    <vt:lpwstr>eyJoZGlkIjoiNDlhNTk3M2EwMWRjYjU0YWZlOWE2NGFkMGM1MzI3OGEiLCJ1c2VySWQiOiIxMDE0MjEyNzExIn0=</vt:lpwstr>
  </property>
</Properties>
</file>