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SZRFYZB202503-075</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新增造价咨询服务项目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四</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4"/>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新增造价咨询服务项目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新增造价咨询服务项目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10</w:t>
      </w:r>
      <w:r>
        <w:rPr>
          <w:rStyle w:val="33"/>
          <w:rFonts w:hint="eastAsia" w:ascii="宋体" w:hAnsi="宋体" w:eastAsia="宋体" w:cs="宋体"/>
          <w:sz w:val="24"/>
          <w:szCs w:val="24"/>
          <w:highlight w:val="none"/>
          <w:lang w:val="en-US" w:eastAsia="zh-CN"/>
        </w:rPr>
        <w:t>万元</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5754C7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21970D6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4F41255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914760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59E2F91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仿宋" w:hAnsi="仿宋" w:eastAsia="仿宋" w:cs="仿宋"/>
          <w:color w:val="000000"/>
          <w:sz w:val="24"/>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63C98903">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服务范围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医院需要造价咨询服务的工程项目</w:t>
      </w:r>
    </w:p>
    <w:p w14:paraId="0194D038">
      <w:p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2、服务要求</w:t>
      </w:r>
    </w:p>
    <w:p w14:paraId="7933B0BB">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（1）服务内容：医院委托给造价单位需要造价咨询服务的工程                                                 </w:t>
      </w:r>
    </w:p>
    <w:p w14:paraId="2285206F">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（2）服务标准：工程提量时必须全面、准确，避免漏项和错项，保证预算工程量与实际工程量相符。                                          </w:t>
      </w:r>
    </w:p>
    <w:p w14:paraId="6F32B992">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（3）服务期限：一年                                                </w:t>
      </w:r>
    </w:p>
    <w:p w14:paraId="5EE449AB">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（4）服务人员数量及组成：详见评分标准                                           </w:t>
      </w:r>
    </w:p>
    <w:p w14:paraId="61014FB9">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（5）其他要求：预算报价费用以国家收费标准为最高限价。           </w:t>
      </w:r>
    </w:p>
    <w:p w14:paraId="3143B08C">
      <w:p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3、服务事项的验收（考核）标准：交付给甲方工程预算的工程量准确无误，不存在缺项漏项情况，可作为项目招标依据。</w:t>
      </w:r>
    </w:p>
    <w:p w14:paraId="7CCB32F0">
      <w:pPr>
        <w:spacing w:line="520" w:lineRule="exact"/>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备注：造价咨询费用采用阶梯报价模式（按具体金额报价），分为5万元≤工程预算＜10万元、10万元≤工程预算＜20万元、20万元≤工程预算＜30万元、30万元≤工程预算＜50万元、50万元≤工程预算＜80万元、80万元≤工程预算＜120万元、120万元≤工程预算＜200万元、200万元≤工程预算＜300万元、300万元≤工程预算九个阶段。</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495122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3、人员要求：中级以上职称或二级造价师不得少于四人，一级造价师不得少于三人；拟派本项目的项目负责人需具备一级造价工程师注册证书、中级及以上 职称；</w:t>
      </w:r>
    </w:p>
    <w:p w14:paraId="67197C41">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4、项目负责人提供至少近一年职工基本养老保险证明（养老保险证明必须是本企业缴纳，证明右上角必须有验证编号且现场网查核实）如有造假情况取消本次投标资格；</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w:t>
      </w:r>
      <w:bookmarkStart w:id="61" w:name="_GoBack"/>
      <w:bookmarkEnd w:id="61"/>
      <w:r>
        <w:rPr>
          <w:rFonts w:hint="eastAsia" w:ascii="宋体" w:hAnsi="宋体" w:eastAsia="宋体" w:cs="宋体"/>
          <w:sz w:val="24"/>
          <w:szCs w:val="24"/>
          <w:highlight w:val="none"/>
        </w:rPr>
        <w:t>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10</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restart"/>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技术部分（60分）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服务方案（30分）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对造价咨询服务的范围、内容、流程阐述清晰，针对性和可操作性强，得</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 xml:space="preserve">分；方案较完整，有一定针对性，得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分；方案内容简单，针对性差，得0 - 7分。</w:t>
            </w:r>
          </w:p>
        </w:tc>
      </w:tr>
      <w:tr w14:paraId="146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right w:val="single" w:color="auto" w:sz="4" w:space="0"/>
            </w:tcBorders>
            <w:noWrap w:val="0"/>
            <w:vAlign w:val="center"/>
          </w:tcPr>
          <w:p w14:paraId="180FEE96">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B9975C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质量保证措施（</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C649B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质量控制体系完善，有明确的质量目标和保障措施，得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6AD63E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有质量保证措施但不够完善，得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分；</w:t>
            </w:r>
          </w:p>
          <w:p w14:paraId="107ABB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措施简单，得0 - </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7" w:type="dxa"/>
            <w:vMerge w:val="continue"/>
            <w:tcBorders>
              <w:left w:val="single" w:color="auto" w:sz="4" w:space="0"/>
              <w:right w:val="single" w:color="auto" w:sz="4" w:space="0"/>
            </w:tcBorders>
            <w:noWrap w:val="0"/>
            <w:vAlign w:val="center"/>
          </w:tcPr>
          <w:p w14:paraId="1FF1B48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E0FCC2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服务承诺（10分）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EDFB537">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对服务响应时间、服务态度等方面作出明确、合理承诺，得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 xml:space="preserve"> - </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分；承诺内容较简单，得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 xml:space="preserve">- </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分；未作相关承诺，得0 - 1分 。</w:t>
            </w:r>
          </w:p>
        </w:tc>
      </w:tr>
      <w:tr w14:paraId="1D5A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restart"/>
            <w:tcBorders>
              <w:left w:val="single" w:color="auto" w:sz="4" w:space="0"/>
              <w:right w:val="single" w:color="auto" w:sz="4" w:space="0"/>
            </w:tcBorders>
            <w:noWrap w:val="0"/>
            <w:vAlign w:val="center"/>
          </w:tcPr>
          <w:p w14:paraId="4EEBBCD8">
            <w:pPr>
              <w:shd w:val="clear" w:color="auto" w:fill="auto"/>
              <w:autoSpaceDE w:val="0"/>
              <w:autoSpaceDN w:val="0"/>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人员团队（20分）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875D9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B046771">
            <w:pPr>
              <w:numPr>
                <w:ilvl w:val="0"/>
                <w:numId w:val="0"/>
              </w:num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具有</w:t>
            </w:r>
            <w:r>
              <w:rPr>
                <w:rFonts w:hint="eastAsia" w:ascii="宋体" w:hAnsi="宋体" w:eastAsia="宋体" w:cs="宋体"/>
                <w:color w:val="000000"/>
                <w:sz w:val="24"/>
                <w:szCs w:val="24"/>
                <w:highlight w:val="none"/>
                <w:lang w:val="en-US" w:eastAsia="zh-CN"/>
              </w:rPr>
              <w:t>一级造价工程师注册证书资格</w:t>
            </w:r>
            <w:r>
              <w:rPr>
                <w:rFonts w:hint="eastAsia" w:ascii="宋体" w:hAnsi="宋体" w:cs="宋体"/>
                <w:color w:val="000000"/>
                <w:sz w:val="24"/>
                <w:szCs w:val="24"/>
                <w:highlight w:val="none"/>
                <w:lang w:val="en-US" w:eastAsia="zh-CN"/>
              </w:rPr>
              <w:t>且有[3]年以上相关工作经验，近三年作为项目负责人承担过类似项目的，得8 - 10分；具有</w:t>
            </w:r>
            <w:r>
              <w:rPr>
                <w:rFonts w:hint="eastAsia" w:ascii="宋体" w:hAnsi="宋体" w:eastAsia="宋体" w:cs="宋体"/>
                <w:color w:val="000000"/>
                <w:sz w:val="24"/>
                <w:szCs w:val="24"/>
                <w:highlight w:val="none"/>
                <w:lang w:val="en-US" w:eastAsia="zh-CN"/>
              </w:rPr>
              <w:t>一级造价工程师注册证书资格</w:t>
            </w:r>
            <w:r>
              <w:rPr>
                <w:rFonts w:hint="eastAsia" w:ascii="宋体" w:hAnsi="宋体" w:cs="宋体"/>
                <w:color w:val="000000"/>
                <w:sz w:val="24"/>
                <w:szCs w:val="24"/>
                <w:highlight w:val="none"/>
                <w:lang w:val="en-US" w:eastAsia="zh-CN"/>
              </w:rPr>
              <w:t>且有[3]年以下相关工作经验，得4 - 7分；</w:t>
            </w:r>
          </w:p>
          <w:p w14:paraId="67A31B3E">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具备一级造价工程师注册证书、中级及以上职称，无相关工作经验，得0 - 3分 。</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7" w:type="dxa"/>
            <w:vMerge w:val="continue"/>
            <w:tcBorders>
              <w:left w:val="single" w:color="auto" w:sz="4" w:space="0"/>
              <w:right w:val="single" w:color="auto" w:sz="4" w:space="0"/>
            </w:tcBorders>
            <w:noWrap w:val="0"/>
            <w:vAlign w:val="center"/>
          </w:tcPr>
          <w:p w14:paraId="15311BFE">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C3C08A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 专业人员配备（10分）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4B0A64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团队人员专业配备齐全（涵盖土建、安装、市政等专业），人员数量满足项目需求，且具有相应资格证书，得8 - 10分；团队人员专业配备基本满足，人员数量满足项目需求，且具有相应资格证书，得4 - 7分；</w:t>
            </w:r>
          </w:p>
          <w:p w14:paraId="0A501A6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团队人员专业配备不合理，人员数量满足项目需求，且具有相应资格证书，得0 - 3分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380D4B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近三年（自磋商响应文件递交截止之日起往前推算）每提供一个类似造价咨询服务项目业绩得2分，最高得10分。需提供合同关键页等证明材料。</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Toc520356170"/>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7B05BE7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委托方：</w:t>
      </w:r>
      <w:r>
        <w:rPr>
          <w:rFonts w:hint="eastAsia" w:ascii="仿宋" w:hAnsi="仿宋" w:eastAsia="仿宋" w:cs="仿宋"/>
          <w:kern w:val="0"/>
          <w:sz w:val="24"/>
          <w:u w:val="single"/>
          <w:lang w:val="en-US" w:eastAsia="zh-CN"/>
        </w:rPr>
        <w:t xml:space="preserve">                      </w:t>
      </w:r>
      <w:r>
        <w:rPr>
          <w:rFonts w:hint="eastAsia" w:ascii="仿宋" w:hAnsi="仿宋" w:eastAsia="仿宋" w:cs="仿宋"/>
          <w:color w:val="000000"/>
          <w:sz w:val="24"/>
        </w:rPr>
        <w:t>，其注册登记地址为：</w:t>
      </w:r>
      <w:r>
        <w:rPr>
          <w:rFonts w:hint="eastAsia" w:ascii="仿宋" w:hAnsi="仿宋" w:eastAsia="仿宋" w:cs="仿宋"/>
          <w:sz w:val="24"/>
          <w:u w:val="single"/>
          <w:lang w:val="en-US" w:eastAsia="zh-CN"/>
        </w:rPr>
        <w:t xml:space="preserve">                        </w:t>
      </w:r>
      <w:r>
        <w:rPr>
          <w:rFonts w:hint="eastAsia" w:ascii="仿宋" w:hAnsi="仿宋" w:eastAsia="仿宋" w:cs="仿宋"/>
          <w:color w:val="000000"/>
          <w:sz w:val="24"/>
        </w:rPr>
        <w:t>，法定代表人为：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color w:val="000000"/>
          <w:sz w:val="24"/>
        </w:rPr>
        <w:t>。</w:t>
      </w:r>
    </w:p>
    <w:p w14:paraId="04365782">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lang w:val="zh-CN"/>
        </w:rPr>
        <w:t>方：</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w:t>
      </w:r>
      <w:r>
        <w:rPr>
          <w:rFonts w:hint="eastAsia" w:ascii="仿宋" w:hAnsi="仿宋" w:eastAsia="仿宋" w:cs="仿宋"/>
          <w:sz w:val="24"/>
        </w:rPr>
        <w:t>其注册登记地址为：</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w:t>
      </w:r>
      <w:r>
        <w:rPr>
          <w:rFonts w:hint="eastAsia" w:ascii="仿宋" w:hAnsi="仿宋" w:eastAsia="仿宋" w:cs="仿宋"/>
          <w:sz w:val="24"/>
        </w:rPr>
        <w:t>法定代表人为：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br w:type="textWrapping"/>
      </w:r>
      <w:r>
        <w:rPr>
          <w:rFonts w:hint="eastAsia" w:ascii="仿宋" w:hAnsi="仿宋" w:eastAsia="仿宋" w:cs="仿宋"/>
          <w:sz w:val="24"/>
        </w:rPr>
        <w:t>根据《中华人民共和国民法典》的法律规定，遵循平等、自愿、公平和诚实信用的原则，</w:t>
      </w:r>
      <w:r>
        <w:rPr>
          <w:rFonts w:hint="eastAsia" w:ascii="仿宋" w:hAnsi="仿宋" w:eastAsia="仿宋" w:cs="仿宋"/>
          <w:sz w:val="22"/>
          <w:szCs w:val="18"/>
        </w:rPr>
        <w:t>双方就陕西中医药大学第二附属医院</w:t>
      </w:r>
      <w:r>
        <w:rPr>
          <w:rFonts w:hint="eastAsia" w:ascii="仿宋" w:hAnsi="仿宋" w:eastAsia="仿宋" w:cs="仿宋"/>
          <w:sz w:val="22"/>
          <w:szCs w:val="18"/>
          <w:lang w:val="en-US" w:eastAsia="zh-CN"/>
        </w:rPr>
        <w:t>新增造价咨询服务项目</w:t>
      </w:r>
      <w:r>
        <w:rPr>
          <w:rFonts w:hint="eastAsia" w:ascii="仿宋" w:hAnsi="仿宋" w:eastAsia="仿宋" w:cs="仿宋"/>
          <w:sz w:val="24"/>
        </w:rPr>
        <w:t>，服务范围为</w:t>
      </w:r>
      <w:r>
        <w:rPr>
          <w:rFonts w:hint="eastAsia" w:ascii="仿宋" w:hAnsi="仿宋" w:eastAsia="仿宋" w:cs="仿宋"/>
          <w:sz w:val="24"/>
          <w:lang w:val="en-US" w:eastAsia="zh-CN"/>
        </w:rPr>
        <w:t>医院委托给造价单位</w:t>
      </w:r>
      <w:r>
        <w:rPr>
          <w:rFonts w:hint="eastAsia" w:ascii="仿宋" w:hAnsi="仿宋" w:eastAsia="仿宋" w:cs="仿宋"/>
          <w:sz w:val="24"/>
        </w:rPr>
        <w:t>的工程项目，共同达成如下协议：</w:t>
      </w:r>
    </w:p>
    <w:p w14:paraId="6BFD95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一、服务概况</w:t>
      </w:r>
    </w:p>
    <w:p w14:paraId="06849F94">
      <w:pPr>
        <w:spacing w:line="480" w:lineRule="exact"/>
        <w:ind w:firstLine="480" w:firstLineChars="200"/>
        <w:rPr>
          <w:rFonts w:hint="eastAsia" w:ascii="仿宋" w:hAnsi="仿宋" w:eastAsia="仿宋" w:cs="仿宋"/>
          <w:sz w:val="24"/>
        </w:rPr>
      </w:pPr>
      <w:r>
        <w:rPr>
          <w:rFonts w:hint="eastAsia" w:ascii="仿宋" w:hAnsi="仿宋" w:eastAsia="仿宋" w:cs="仿宋"/>
          <w:sz w:val="24"/>
        </w:rPr>
        <w:t>1、服务名称：陕西中医药大学第二附属医院新增造价咨询服务；</w:t>
      </w:r>
    </w:p>
    <w:p w14:paraId="43B8EA8E">
      <w:pPr>
        <w:spacing w:line="480" w:lineRule="exact"/>
        <w:ind w:firstLine="480" w:firstLineChars="200"/>
        <w:rPr>
          <w:rFonts w:hint="eastAsia" w:ascii="仿宋" w:hAnsi="仿宋" w:eastAsia="仿宋" w:cs="仿宋"/>
          <w:sz w:val="24"/>
        </w:rPr>
      </w:pPr>
      <w:r>
        <w:rPr>
          <w:rFonts w:hint="eastAsia" w:ascii="仿宋" w:hAnsi="仿宋" w:eastAsia="仿宋" w:cs="仿宋"/>
          <w:sz w:val="24"/>
        </w:rPr>
        <w:t>2、服务地点：陕西中医药大学第二附属医院秦都院区、西咸院区</w:t>
      </w:r>
      <w:r>
        <w:rPr>
          <w:rFonts w:hint="eastAsia" w:ascii="仿宋" w:hAnsi="仿宋" w:eastAsia="仿宋" w:cs="仿宋"/>
          <w:sz w:val="24"/>
          <w:lang w:val="en-US" w:eastAsia="zh-CN"/>
        </w:rPr>
        <w:t>及其他分院</w:t>
      </w:r>
      <w:r>
        <w:rPr>
          <w:rFonts w:hint="eastAsia" w:ascii="仿宋" w:hAnsi="仿宋" w:eastAsia="仿宋" w:cs="仿宋"/>
          <w:sz w:val="24"/>
        </w:rPr>
        <w:t>；</w:t>
      </w:r>
    </w:p>
    <w:p w14:paraId="3457F025">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3、服务期限：</w:t>
      </w:r>
      <w:r>
        <w:rPr>
          <w:rFonts w:hint="eastAsia" w:ascii="仿宋" w:hAnsi="仿宋" w:eastAsia="仿宋" w:cs="仿宋"/>
          <w:sz w:val="24"/>
          <w:lang w:val="en-US" w:eastAsia="zh-CN"/>
        </w:rPr>
        <w:t>一</w:t>
      </w:r>
      <w:r>
        <w:rPr>
          <w:rFonts w:hint="eastAsia" w:ascii="仿宋" w:hAnsi="仿宋" w:eastAsia="仿宋" w:cs="仿宋"/>
          <w:sz w:val="24"/>
        </w:rPr>
        <w:t>年</w:t>
      </w:r>
      <w:r>
        <w:rPr>
          <w:rFonts w:hint="eastAsia" w:ascii="仿宋" w:hAnsi="仿宋" w:eastAsia="仿宋" w:cs="仿宋"/>
          <w:sz w:val="24"/>
          <w:lang w:eastAsia="zh-CN"/>
        </w:rPr>
        <w:t>；</w:t>
      </w:r>
    </w:p>
    <w:p w14:paraId="7A060F2E">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4、</w:t>
      </w:r>
      <w:r>
        <w:rPr>
          <w:rFonts w:hint="eastAsia" w:ascii="仿宋" w:hAnsi="仿宋" w:eastAsia="仿宋" w:cs="仿宋"/>
          <w:sz w:val="24"/>
          <w:lang w:val="en-US" w:eastAsia="zh-CN"/>
        </w:rPr>
        <w:t>服务内容</w:t>
      </w:r>
      <w:r>
        <w:rPr>
          <w:rFonts w:hint="eastAsia" w:ascii="仿宋" w:hAnsi="仿宋" w:eastAsia="仿宋" w:cs="仿宋"/>
          <w:sz w:val="24"/>
        </w:rPr>
        <w:t>：医院委托给</w:t>
      </w:r>
      <w:r>
        <w:rPr>
          <w:rFonts w:hint="eastAsia" w:ascii="仿宋" w:hAnsi="仿宋" w:eastAsia="仿宋" w:cs="仿宋"/>
          <w:sz w:val="24"/>
          <w:lang w:val="en-US" w:eastAsia="zh-CN"/>
        </w:rPr>
        <w:t>造价咨询</w:t>
      </w:r>
      <w:r>
        <w:rPr>
          <w:rFonts w:hint="eastAsia" w:ascii="仿宋" w:hAnsi="仿宋" w:eastAsia="仿宋" w:cs="仿宋"/>
          <w:sz w:val="24"/>
        </w:rPr>
        <w:t>单位</w:t>
      </w:r>
      <w:r>
        <w:rPr>
          <w:rFonts w:hint="eastAsia" w:ascii="仿宋" w:hAnsi="仿宋" w:eastAsia="仿宋" w:cs="仿宋"/>
          <w:sz w:val="24"/>
          <w:lang w:val="en-US" w:eastAsia="zh-CN"/>
        </w:rPr>
        <w:t>需要造价咨询的项目，</w:t>
      </w:r>
      <w:r>
        <w:rPr>
          <w:rFonts w:hint="eastAsia" w:ascii="仿宋" w:hAnsi="仿宋" w:eastAsia="仿宋" w:cs="仿宋"/>
          <w:sz w:val="24"/>
        </w:rPr>
        <w:t>包括但不限于工程量清单、预算、造价等的编制</w:t>
      </w:r>
      <w:r>
        <w:rPr>
          <w:rFonts w:hint="eastAsia" w:ascii="仿宋" w:hAnsi="仿宋" w:eastAsia="仿宋" w:cs="仿宋"/>
          <w:sz w:val="24"/>
          <w:lang w:eastAsia="zh-CN"/>
        </w:rPr>
        <w:t>；</w:t>
      </w:r>
    </w:p>
    <w:p w14:paraId="77BC7149">
      <w:pPr>
        <w:spacing w:line="480" w:lineRule="exact"/>
        <w:ind w:firstLine="480" w:firstLineChars="200"/>
        <w:rPr>
          <w:rFonts w:hint="eastAsia"/>
          <w:lang w:eastAsia="zh-CN"/>
        </w:rPr>
      </w:pPr>
      <w:r>
        <w:rPr>
          <w:rFonts w:hint="eastAsia" w:ascii="仿宋" w:hAnsi="仿宋" w:eastAsia="仿宋" w:cs="仿宋"/>
          <w:sz w:val="24"/>
        </w:rPr>
        <w:t>4、</w:t>
      </w:r>
      <w:r>
        <w:rPr>
          <w:rFonts w:hint="eastAsia" w:ascii="仿宋" w:hAnsi="仿宋" w:eastAsia="仿宋" w:cs="仿宋"/>
          <w:sz w:val="24"/>
          <w:lang w:val="en-US" w:eastAsia="zh-CN"/>
        </w:rPr>
        <w:t>服务标准</w:t>
      </w:r>
      <w:r>
        <w:rPr>
          <w:rFonts w:hint="eastAsia" w:ascii="仿宋" w:hAnsi="仿宋" w:eastAsia="仿宋" w:cs="仿宋"/>
          <w:sz w:val="24"/>
        </w:rPr>
        <w:t>：工程提量时必须全面、准确，避免漏项和错项，保证预算工程量与实际工程量相符。</w:t>
      </w:r>
    </w:p>
    <w:p w14:paraId="297F9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二、服务费用：</w:t>
      </w:r>
    </w:p>
    <w:p w14:paraId="2FA72DE4">
      <w:pPr>
        <w:spacing w:line="480" w:lineRule="exact"/>
        <w:ind w:firstLine="480" w:firstLineChars="200"/>
        <w:rPr>
          <w:rFonts w:hint="eastAsia" w:ascii="仿宋" w:hAnsi="仿宋" w:eastAsia="仿宋" w:cs="仿宋"/>
          <w:sz w:val="24"/>
        </w:rPr>
      </w:pPr>
      <w:r>
        <w:rPr>
          <w:rFonts w:hint="eastAsia" w:ascii="仿宋" w:hAnsi="仿宋" w:eastAsia="仿宋" w:cs="仿宋"/>
          <w:sz w:val="24"/>
        </w:rPr>
        <w:t>1.根据项目预算金额分标段取费，具体如下：</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36"/>
        <w:gridCol w:w="741"/>
        <w:gridCol w:w="741"/>
        <w:gridCol w:w="741"/>
        <w:gridCol w:w="741"/>
        <w:gridCol w:w="846"/>
        <w:gridCol w:w="951"/>
        <w:gridCol w:w="951"/>
        <w:gridCol w:w="899"/>
      </w:tblGrid>
      <w:tr w14:paraId="39B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21" w:type="dxa"/>
            <w:noWrap w:val="0"/>
            <w:vAlign w:val="center"/>
          </w:tcPr>
          <w:p w14:paraId="7844BB1D">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计费基数</w:t>
            </w:r>
          </w:p>
          <w:p w14:paraId="3A47EE2B">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c>
          <w:tcPr>
            <w:tcW w:w="621" w:type="dxa"/>
            <w:noWrap w:val="0"/>
            <w:vAlign w:val="center"/>
          </w:tcPr>
          <w:p w14:paraId="750C3DA5">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5~10</w:t>
            </w:r>
          </w:p>
        </w:tc>
        <w:tc>
          <w:tcPr>
            <w:tcW w:w="728" w:type="dxa"/>
            <w:noWrap w:val="0"/>
            <w:vAlign w:val="center"/>
          </w:tcPr>
          <w:p w14:paraId="6A79E828">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10~20</w:t>
            </w:r>
          </w:p>
        </w:tc>
        <w:tc>
          <w:tcPr>
            <w:tcW w:w="728" w:type="dxa"/>
            <w:noWrap w:val="0"/>
            <w:vAlign w:val="center"/>
          </w:tcPr>
          <w:p w14:paraId="2C463443">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20~30</w:t>
            </w:r>
          </w:p>
        </w:tc>
        <w:tc>
          <w:tcPr>
            <w:tcW w:w="728" w:type="dxa"/>
            <w:noWrap w:val="0"/>
            <w:vAlign w:val="center"/>
          </w:tcPr>
          <w:p w14:paraId="13816658">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30~50</w:t>
            </w:r>
          </w:p>
        </w:tc>
        <w:tc>
          <w:tcPr>
            <w:tcW w:w="728" w:type="dxa"/>
            <w:noWrap w:val="0"/>
            <w:vAlign w:val="center"/>
          </w:tcPr>
          <w:p w14:paraId="1EC8CCC4">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50~80</w:t>
            </w:r>
          </w:p>
        </w:tc>
        <w:tc>
          <w:tcPr>
            <w:tcW w:w="835" w:type="dxa"/>
            <w:noWrap w:val="0"/>
            <w:vAlign w:val="center"/>
          </w:tcPr>
          <w:p w14:paraId="21519DE6">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80~120</w:t>
            </w:r>
          </w:p>
        </w:tc>
        <w:tc>
          <w:tcPr>
            <w:tcW w:w="942" w:type="dxa"/>
            <w:noWrap w:val="0"/>
            <w:vAlign w:val="center"/>
          </w:tcPr>
          <w:p w14:paraId="7C304632">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120~200</w:t>
            </w:r>
          </w:p>
        </w:tc>
        <w:tc>
          <w:tcPr>
            <w:tcW w:w="942" w:type="dxa"/>
            <w:noWrap w:val="0"/>
            <w:vAlign w:val="center"/>
          </w:tcPr>
          <w:p w14:paraId="5F9DE6B7">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200~300</w:t>
            </w:r>
          </w:p>
        </w:tc>
        <w:tc>
          <w:tcPr>
            <w:tcW w:w="942" w:type="dxa"/>
            <w:noWrap w:val="0"/>
            <w:vAlign w:val="center"/>
          </w:tcPr>
          <w:p w14:paraId="2B7ED0C9">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300~</w:t>
            </w:r>
          </w:p>
        </w:tc>
      </w:tr>
      <w:tr w14:paraId="136D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21" w:type="dxa"/>
            <w:noWrap w:val="0"/>
            <w:vAlign w:val="center"/>
          </w:tcPr>
          <w:p w14:paraId="737F5F94">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收费标准（元）</w:t>
            </w:r>
          </w:p>
        </w:tc>
        <w:tc>
          <w:tcPr>
            <w:tcW w:w="621" w:type="dxa"/>
            <w:noWrap w:val="0"/>
            <w:vAlign w:val="center"/>
          </w:tcPr>
          <w:p w14:paraId="20A129DD">
            <w:pPr>
              <w:spacing w:line="480" w:lineRule="exact"/>
              <w:jc w:val="both"/>
              <w:rPr>
                <w:rFonts w:hint="eastAsia" w:ascii="仿宋" w:hAnsi="仿宋" w:eastAsia="仿宋" w:cs="仿宋"/>
                <w:sz w:val="24"/>
                <w:lang w:val="en-US" w:eastAsia="zh-CN"/>
              </w:rPr>
            </w:pPr>
          </w:p>
        </w:tc>
        <w:tc>
          <w:tcPr>
            <w:tcW w:w="728" w:type="dxa"/>
            <w:noWrap w:val="0"/>
            <w:vAlign w:val="center"/>
          </w:tcPr>
          <w:p w14:paraId="3D87D2C5">
            <w:pPr>
              <w:spacing w:line="480" w:lineRule="exact"/>
              <w:ind w:firstLine="480" w:firstLineChars="200"/>
              <w:jc w:val="both"/>
              <w:rPr>
                <w:rFonts w:hint="eastAsia" w:ascii="仿宋" w:hAnsi="仿宋" w:eastAsia="仿宋" w:cs="仿宋"/>
                <w:sz w:val="24"/>
                <w:lang w:val="en-US" w:eastAsia="zh-CN"/>
              </w:rPr>
            </w:pPr>
          </w:p>
        </w:tc>
        <w:tc>
          <w:tcPr>
            <w:tcW w:w="728" w:type="dxa"/>
            <w:noWrap w:val="0"/>
            <w:vAlign w:val="center"/>
          </w:tcPr>
          <w:p w14:paraId="2F7F8A7F">
            <w:pPr>
              <w:spacing w:line="480" w:lineRule="exact"/>
              <w:ind w:firstLine="480" w:firstLineChars="200"/>
              <w:jc w:val="both"/>
              <w:rPr>
                <w:rFonts w:hint="eastAsia" w:ascii="仿宋" w:hAnsi="仿宋" w:eastAsia="仿宋" w:cs="仿宋"/>
                <w:sz w:val="24"/>
                <w:lang w:val="en-US" w:eastAsia="zh-CN"/>
              </w:rPr>
            </w:pPr>
          </w:p>
        </w:tc>
        <w:tc>
          <w:tcPr>
            <w:tcW w:w="728" w:type="dxa"/>
            <w:noWrap w:val="0"/>
            <w:vAlign w:val="center"/>
          </w:tcPr>
          <w:p w14:paraId="401538C0">
            <w:pPr>
              <w:spacing w:line="480" w:lineRule="exact"/>
              <w:ind w:firstLine="480" w:firstLineChars="200"/>
              <w:jc w:val="center"/>
              <w:rPr>
                <w:rFonts w:hint="eastAsia" w:ascii="仿宋" w:hAnsi="仿宋" w:eastAsia="仿宋" w:cs="仿宋"/>
                <w:sz w:val="24"/>
                <w:lang w:val="en-US" w:eastAsia="zh-CN"/>
              </w:rPr>
            </w:pPr>
          </w:p>
        </w:tc>
        <w:tc>
          <w:tcPr>
            <w:tcW w:w="728" w:type="dxa"/>
            <w:noWrap w:val="0"/>
            <w:vAlign w:val="center"/>
          </w:tcPr>
          <w:p w14:paraId="666B3CAE">
            <w:pPr>
              <w:spacing w:line="480" w:lineRule="exact"/>
              <w:jc w:val="both"/>
              <w:rPr>
                <w:rFonts w:hint="eastAsia" w:ascii="仿宋" w:hAnsi="仿宋" w:eastAsia="仿宋" w:cs="仿宋"/>
                <w:sz w:val="24"/>
                <w:lang w:val="en-US" w:eastAsia="zh-CN"/>
              </w:rPr>
            </w:pPr>
          </w:p>
        </w:tc>
        <w:tc>
          <w:tcPr>
            <w:tcW w:w="835" w:type="dxa"/>
            <w:noWrap w:val="0"/>
            <w:vAlign w:val="center"/>
          </w:tcPr>
          <w:p w14:paraId="4F43BA3F">
            <w:pPr>
              <w:spacing w:line="480" w:lineRule="exact"/>
              <w:jc w:val="both"/>
              <w:rPr>
                <w:rFonts w:hint="eastAsia" w:ascii="仿宋" w:hAnsi="仿宋" w:eastAsia="仿宋" w:cs="仿宋"/>
                <w:sz w:val="24"/>
                <w:lang w:val="en-US" w:eastAsia="zh-CN"/>
              </w:rPr>
            </w:pPr>
          </w:p>
        </w:tc>
        <w:tc>
          <w:tcPr>
            <w:tcW w:w="942" w:type="dxa"/>
            <w:noWrap w:val="0"/>
            <w:vAlign w:val="center"/>
          </w:tcPr>
          <w:p w14:paraId="40B39955">
            <w:pPr>
              <w:spacing w:line="480" w:lineRule="exact"/>
              <w:jc w:val="both"/>
              <w:rPr>
                <w:rFonts w:hint="eastAsia" w:ascii="仿宋" w:hAnsi="仿宋" w:eastAsia="仿宋" w:cs="仿宋"/>
                <w:sz w:val="24"/>
                <w:lang w:val="en-US" w:eastAsia="zh-CN"/>
              </w:rPr>
            </w:pPr>
          </w:p>
        </w:tc>
        <w:tc>
          <w:tcPr>
            <w:tcW w:w="942" w:type="dxa"/>
            <w:noWrap w:val="0"/>
            <w:vAlign w:val="center"/>
          </w:tcPr>
          <w:p w14:paraId="6E100B78">
            <w:pPr>
              <w:spacing w:line="480" w:lineRule="exact"/>
              <w:jc w:val="both"/>
              <w:rPr>
                <w:rFonts w:hint="eastAsia" w:ascii="仿宋" w:hAnsi="仿宋" w:eastAsia="仿宋" w:cs="仿宋"/>
                <w:sz w:val="24"/>
                <w:lang w:val="en-US" w:eastAsia="zh-CN"/>
              </w:rPr>
            </w:pPr>
          </w:p>
        </w:tc>
        <w:tc>
          <w:tcPr>
            <w:tcW w:w="942" w:type="dxa"/>
            <w:noWrap w:val="0"/>
            <w:vAlign w:val="center"/>
          </w:tcPr>
          <w:p w14:paraId="161CE8C3">
            <w:pPr>
              <w:spacing w:line="480" w:lineRule="exact"/>
              <w:jc w:val="both"/>
              <w:rPr>
                <w:rFonts w:hint="eastAsia" w:ascii="仿宋" w:hAnsi="仿宋" w:eastAsia="仿宋" w:cs="仿宋"/>
                <w:sz w:val="24"/>
                <w:lang w:val="en-US" w:eastAsia="zh-CN"/>
              </w:rPr>
            </w:pPr>
          </w:p>
        </w:tc>
      </w:tr>
    </w:tbl>
    <w:p w14:paraId="701C6CA4">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2.合同为固定</w:t>
      </w:r>
      <w:r>
        <w:rPr>
          <w:rFonts w:hint="eastAsia" w:ascii="仿宋" w:hAnsi="仿宋" w:eastAsia="仿宋" w:cs="仿宋"/>
          <w:sz w:val="24"/>
          <w:lang w:val="en-US" w:eastAsia="zh-CN"/>
        </w:rPr>
        <w:t>价格</w:t>
      </w:r>
      <w:r>
        <w:rPr>
          <w:rFonts w:hint="eastAsia" w:ascii="仿宋" w:hAnsi="仿宋" w:eastAsia="仿宋" w:cs="仿宋"/>
          <w:sz w:val="24"/>
        </w:rPr>
        <w:t>合同，不受市场价变化的影响。</w:t>
      </w:r>
    </w:p>
    <w:p w14:paraId="0B197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三、费用结算</w:t>
      </w:r>
    </w:p>
    <w:p w14:paraId="4FEBB0F4">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、结算方式：银行转账</w:t>
      </w:r>
      <w:r>
        <w:rPr>
          <w:rFonts w:hint="eastAsia" w:ascii="仿宋" w:hAnsi="仿宋" w:eastAsia="仿宋" w:cs="仿宋"/>
          <w:sz w:val="24"/>
          <w:lang w:eastAsia="zh-CN"/>
        </w:rPr>
        <w:t>。</w:t>
      </w:r>
    </w:p>
    <w:p w14:paraId="6BE63008">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甲方付款前，乙方需按照甲方要求提供发票，否则甲方有权拒付费用且不承担任何责任。</w:t>
      </w:r>
    </w:p>
    <w:p w14:paraId="4CF29CE3">
      <w:pPr>
        <w:spacing w:line="480" w:lineRule="exact"/>
        <w:ind w:firstLine="480" w:firstLineChars="200"/>
        <w:rPr>
          <w:rFonts w:hint="default"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、结算期限：半年统一结算一次。</w:t>
      </w:r>
    </w:p>
    <w:p w14:paraId="6DFEC98C">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、结算</w:t>
      </w:r>
      <w:r>
        <w:rPr>
          <w:rFonts w:hint="eastAsia" w:ascii="仿宋" w:hAnsi="仿宋" w:eastAsia="仿宋" w:cs="仿宋"/>
          <w:sz w:val="24"/>
          <w:lang w:val="en-US" w:eastAsia="zh-CN"/>
        </w:rPr>
        <w:t>信息</w:t>
      </w:r>
      <w:r>
        <w:rPr>
          <w:rFonts w:hint="eastAsia" w:ascii="仿宋" w:hAnsi="仿宋" w:eastAsia="仿宋" w:cs="仿宋"/>
          <w:sz w:val="24"/>
        </w:rPr>
        <w:t>：</w:t>
      </w:r>
    </w:p>
    <w:p w14:paraId="01A1C87C">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乙方账户：</w:t>
      </w:r>
      <w:r>
        <w:rPr>
          <w:rFonts w:hint="eastAsia" w:ascii="仿宋" w:hAnsi="仿宋" w:eastAsia="仿宋" w:cs="仿宋"/>
          <w:sz w:val="24"/>
          <w:lang w:val="en-US" w:eastAsia="zh-CN"/>
        </w:rPr>
        <w:t xml:space="preserve"> </w:t>
      </w:r>
      <w:r>
        <w:rPr>
          <w:rFonts w:hint="default"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p>
    <w:p w14:paraId="5FB91E50">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账    号：</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 xml:space="preserve"> </w:t>
      </w:r>
      <w:r>
        <w:rPr>
          <w:rFonts w:hint="default" w:ascii="仿宋" w:hAnsi="仿宋" w:eastAsia="仿宋" w:cs="仿宋"/>
          <w:sz w:val="24"/>
          <w:lang w:val="en-US" w:eastAsia="zh-CN"/>
        </w:rPr>
        <w:t xml:space="preserve">                                         </w:t>
      </w:r>
    </w:p>
    <w:p w14:paraId="3C163209">
      <w:pPr>
        <w:spacing w:line="480" w:lineRule="exact"/>
        <w:ind w:firstLine="480" w:firstLineChars="200"/>
        <w:rPr>
          <w:rFonts w:hint="eastAsia" w:ascii="宋体" w:hAnsi="宋体" w:eastAsia="宋体" w:cs="宋体"/>
        </w:rPr>
      </w:pPr>
      <w:r>
        <w:rPr>
          <w:rFonts w:hint="default" w:ascii="仿宋" w:hAnsi="仿宋" w:eastAsia="仿宋" w:cs="仿宋"/>
          <w:sz w:val="24"/>
          <w:lang w:val="en-US" w:eastAsia="zh-CN"/>
        </w:rPr>
        <w:t>开 户 行：</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p w14:paraId="4BBEFC8D">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四</w:t>
      </w:r>
      <w:r>
        <w:rPr>
          <w:rFonts w:hint="default" w:ascii="仿宋" w:hAnsi="仿宋" w:eastAsia="仿宋" w:cs="仿宋"/>
          <w:sz w:val="24"/>
          <w:lang w:val="en-US" w:eastAsia="zh-CN"/>
        </w:rPr>
        <w:t>、甲方的权利:</w:t>
      </w:r>
    </w:p>
    <w:p w14:paraId="2FBC6753">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对乙方承诺的服务和实际提供的服务以及相关事项进行监督检查:</w:t>
      </w:r>
    </w:p>
    <w:p w14:paraId="148E9E3B">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有权要求乙方对不符合合同的行为进行调整;</w:t>
      </w:r>
    </w:p>
    <w:p w14:paraId="2F20A288">
      <w:pPr>
        <w:spacing w:line="480" w:lineRule="exact"/>
        <w:ind w:firstLine="480" w:firstLineChars="200"/>
        <w:rPr>
          <w:rFonts w:hint="default"/>
          <w:color w:val="C00000"/>
          <w:lang w:val="en-US" w:eastAsia="zh-CN"/>
        </w:rPr>
      </w:pPr>
      <w:r>
        <w:rPr>
          <w:rFonts w:hint="eastAsia" w:ascii="仿宋" w:hAnsi="仿宋" w:eastAsia="仿宋" w:cs="仿宋"/>
          <w:sz w:val="24"/>
          <w:lang w:val="en-US" w:eastAsia="zh-CN"/>
        </w:rPr>
        <w:t>3、</w:t>
      </w:r>
      <w:r>
        <w:rPr>
          <w:rFonts w:hint="eastAsia" w:ascii="仿宋" w:hAnsi="仿宋" w:eastAsia="仿宋" w:cs="仿宋"/>
          <w:color w:val="C00000"/>
          <w:sz w:val="24"/>
          <w:lang w:val="en-US" w:eastAsia="zh-CN"/>
        </w:rPr>
        <w:t>乙方提供的造价咨询服务应向甲方负责，包括但不限于对乙方提供的工程预算出现的缺项、漏项或工程量误差的负责补充或修改，且工程预算是由乙方专业人员编制，如后期甲方发现存在严重的缺项、漏项或者工程量不准的情况，则视为违约，根据情节按照该工程项目造价咨询费用10-30%</w:t>
      </w:r>
      <w:r>
        <w:rPr>
          <w:rFonts w:hint="eastAsia" w:ascii="仿宋" w:hAnsi="仿宋" w:eastAsia="仿宋" w:cs="仿宋"/>
          <w:color w:val="C00000"/>
          <w:sz w:val="24"/>
        </w:rPr>
        <w:t>在项目结算时进行扣款</w:t>
      </w:r>
      <w:r>
        <w:rPr>
          <w:rFonts w:hint="default" w:ascii="仿宋" w:hAnsi="仿宋" w:eastAsia="仿宋" w:cs="仿宋"/>
          <w:color w:val="C00000"/>
          <w:sz w:val="24"/>
          <w:lang w:val="en-US" w:eastAsia="zh-CN"/>
        </w:rPr>
        <w:t>;</w:t>
      </w:r>
    </w:p>
    <w:p w14:paraId="0EFC1B9C">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w:t>
      </w:r>
      <w:r>
        <w:rPr>
          <w:rFonts w:hint="default" w:ascii="仿宋" w:hAnsi="仿宋" w:eastAsia="仿宋" w:cs="仿宋"/>
          <w:sz w:val="24"/>
          <w:lang w:val="en-US" w:eastAsia="zh-CN"/>
        </w:rPr>
        <w:t>因乙方违反有关规定或存在弄虚作假行为，甲方有权终止与乙方合同。</w:t>
      </w:r>
    </w:p>
    <w:p w14:paraId="4B5AA6D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五</w:t>
      </w:r>
      <w:r>
        <w:rPr>
          <w:rFonts w:hint="default" w:ascii="仿宋" w:hAnsi="仿宋" w:eastAsia="仿宋" w:cs="仿宋"/>
          <w:sz w:val="24"/>
          <w:lang w:val="en-US" w:eastAsia="zh-CN"/>
        </w:rPr>
        <w:t>、甲方的义务:</w:t>
      </w:r>
    </w:p>
    <w:p w14:paraId="416A8DA7">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向乙方提供需要委托相关资料;</w:t>
      </w:r>
    </w:p>
    <w:p w14:paraId="034B11B8">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六</w:t>
      </w:r>
      <w:r>
        <w:rPr>
          <w:rFonts w:hint="default" w:ascii="仿宋" w:hAnsi="仿宋" w:eastAsia="仿宋" w:cs="仿宋"/>
          <w:sz w:val="24"/>
          <w:lang w:val="en-US" w:eastAsia="zh-CN"/>
        </w:rPr>
        <w:t>、乙方的权利:</w:t>
      </w:r>
    </w:p>
    <w:p w14:paraId="4182743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对甲方提出的超过协议规定服务范围的要求，乙方有权拒绝;</w:t>
      </w:r>
    </w:p>
    <w:p w14:paraId="343BB20D">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七</w:t>
      </w:r>
      <w:r>
        <w:rPr>
          <w:rFonts w:hint="default" w:ascii="仿宋" w:hAnsi="仿宋" w:eastAsia="仿宋" w:cs="仿宋"/>
          <w:sz w:val="24"/>
          <w:lang w:val="en-US" w:eastAsia="zh-CN"/>
        </w:rPr>
        <w:t>、乙方的义务:</w:t>
      </w:r>
    </w:p>
    <w:p w14:paraId="7BF972C7">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default" w:ascii="仿宋" w:hAnsi="仿宋" w:eastAsia="仿宋" w:cs="仿宋"/>
          <w:sz w:val="24"/>
          <w:lang w:val="en-US" w:eastAsia="zh-CN"/>
        </w:rPr>
        <w:t>在协议期内，乙方按照本合同的规定，为甲方提供造价咨询服务，包括但不限于工程量清单、预算、造价等的编制。</w:t>
      </w:r>
    </w:p>
    <w:p w14:paraId="72EC5B7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按照甲方授权处理相关造价咨询事项，配合根据甲方审批意见调整、修改直至满足要求。</w:t>
      </w:r>
    </w:p>
    <w:p w14:paraId="3B91E60A">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w:t>
      </w:r>
      <w:r>
        <w:rPr>
          <w:rFonts w:hint="default" w:ascii="仿宋" w:hAnsi="仿宋" w:eastAsia="仿宋" w:cs="仿宋"/>
          <w:sz w:val="24"/>
          <w:lang w:val="en-US" w:eastAsia="zh-CN"/>
        </w:rPr>
        <w:t>对因履行本合同所获取的甲方一切非公开信息保密，否则，甲方有权解除合同并按照合同第七条第2款约定要求乙方承担根本违约责任。</w:t>
      </w:r>
    </w:p>
    <w:p w14:paraId="5881EFE5">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八</w:t>
      </w:r>
      <w:r>
        <w:rPr>
          <w:rFonts w:hint="default" w:ascii="仿宋" w:hAnsi="仿宋" w:eastAsia="仿宋" w:cs="仿宋"/>
          <w:sz w:val="24"/>
          <w:lang w:val="en-US" w:eastAsia="zh-CN"/>
        </w:rPr>
        <w:t>、服务条款</w:t>
      </w:r>
    </w:p>
    <w:p w14:paraId="2D649A4A">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甲、乙双方应以本协议确认的服务要求、服务质量等作为本条款的基础。</w:t>
      </w:r>
    </w:p>
    <w:p w14:paraId="17BBBAD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九</w:t>
      </w:r>
      <w:r>
        <w:rPr>
          <w:rFonts w:hint="default" w:ascii="仿宋" w:hAnsi="仿宋" w:eastAsia="仿宋" w:cs="仿宋"/>
          <w:sz w:val="24"/>
          <w:lang w:val="en-US" w:eastAsia="zh-CN"/>
        </w:rPr>
        <w:t>、 违约责任</w:t>
      </w:r>
    </w:p>
    <w:p w14:paraId="3504C845">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由于乙方自身原因，延误了约定的交付时间，每延误一天，应按该项目造价费用的3%向甲方支付违约金，累计逾期未超过30天的在项目结算时进行扣款，如超过30天视为乙方根本违约，甲方有权单方解除本合同，合同自书面解除通知送达乙方之日起解除。</w:t>
      </w:r>
    </w:p>
    <w:p w14:paraId="07D172C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履行本合同的过程中，确因在现有水平和条件下难以克服的政策困难，导致部分或全部失败所造成的损失，风险责任由乙方全部承担。</w:t>
      </w:r>
    </w:p>
    <w:p w14:paraId="611498C2">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2</w:t>
      </w:r>
      <w:r>
        <w:rPr>
          <w:rFonts w:hint="eastAsia" w:ascii="仿宋" w:hAnsi="仿宋" w:eastAsia="仿宋" w:cs="仿宋"/>
          <w:sz w:val="24"/>
        </w:rPr>
        <w:t>、</w:t>
      </w:r>
      <w:r>
        <w:rPr>
          <w:rFonts w:hint="default" w:ascii="仿宋" w:hAnsi="仿宋" w:eastAsia="仿宋" w:cs="仿宋"/>
          <w:sz w:val="24"/>
          <w:lang w:val="en-US" w:eastAsia="zh-CN"/>
        </w:rPr>
        <w:t>乙方达不到项目规定的服务和服务要求，甲方有权单方解除合同，合同自甲方书面解除通知送达乙方之日起解除。</w:t>
      </w:r>
    </w:p>
    <w:p w14:paraId="610F8C82">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十</w:t>
      </w:r>
      <w:r>
        <w:rPr>
          <w:rFonts w:hint="default" w:ascii="仿宋" w:hAnsi="仿宋" w:eastAsia="仿宋" w:cs="仿宋"/>
          <w:sz w:val="24"/>
          <w:lang w:val="en-US" w:eastAsia="zh-CN"/>
        </w:rPr>
        <w:t>、不可抗力事件处理</w:t>
      </w:r>
    </w:p>
    <w:p w14:paraId="16BA5917">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在执行合同期限内，任何一方因不可抗力事件所至不能履行合同，则合同履行期可延长，延长期与不可抗力影响期相同。</w:t>
      </w:r>
    </w:p>
    <w:p w14:paraId="65807AF4">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2</w:t>
      </w:r>
      <w:r>
        <w:rPr>
          <w:rFonts w:hint="eastAsia" w:ascii="仿宋" w:hAnsi="仿宋" w:eastAsia="仿宋" w:cs="仿宋"/>
          <w:sz w:val="24"/>
        </w:rPr>
        <w:t>、</w:t>
      </w:r>
      <w:r>
        <w:rPr>
          <w:rFonts w:hint="default" w:ascii="仿宋" w:hAnsi="仿宋" w:eastAsia="仿宋" w:cs="仿宋"/>
          <w:sz w:val="24"/>
          <w:lang w:val="en-US" w:eastAsia="zh-CN"/>
        </w:rPr>
        <w:t>不可抗力事件发生后，应立即通知对方，并寄送有关权威机构出具的证明。</w:t>
      </w:r>
    </w:p>
    <w:p w14:paraId="56B7E59E">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3</w:t>
      </w:r>
      <w:r>
        <w:rPr>
          <w:rFonts w:hint="eastAsia" w:ascii="仿宋" w:hAnsi="仿宋" w:eastAsia="仿宋" w:cs="仿宋"/>
          <w:sz w:val="24"/>
        </w:rPr>
        <w:t>、</w:t>
      </w:r>
      <w:r>
        <w:rPr>
          <w:rFonts w:hint="default" w:ascii="仿宋" w:hAnsi="仿宋" w:eastAsia="仿宋" w:cs="仿宋"/>
          <w:sz w:val="24"/>
          <w:lang w:val="en-US" w:eastAsia="zh-CN"/>
        </w:rPr>
        <w:t>不可抗力事件延续</w:t>
      </w:r>
      <w:r>
        <w:rPr>
          <w:rFonts w:hint="default" w:ascii="仿宋" w:hAnsi="仿宋" w:eastAsia="仿宋" w:cs="仿宋"/>
          <w:sz w:val="24"/>
          <w:u w:val="single"/>
          <w:lang w:val="en-US" w:eastAsia="zh-CN"/>
        </w:rPr>
        <w:t>6</w:t>
      </w:r>
      <w:r>
        <w:rPr>
          <w:rFonts w:hint="eastAsia" w:ascii="仿宋" w:hAnsi="仿宋" w:eastAsia="仿宋" w:cs="仿宋"/>
          <w:sz w:val="24"/>
          <w:u w:val="single"/>
          <w:lang w:val="en-US" w:eastAsia="zh-CN"/>
        </w:rPr>
        <w:t>0</w:t>
      </w:r>
      <w:r>
        <w:rPr>
          <w:rFonts w:hint="default" w:ascii="仿宋" w:hAnsi="仿宋" w:eastAsia="仿宋" w:cs="仿宋"/>
          <w:sz w:val="24"/>
          <w:lang w:val="en-US" w:eastAsia="zh-CN"/>
        </w:rPr>
        <w:t>天以上，双方应通过友好协商，确定是否继续履行合同。</w:t>
      </w:r>
    </w:p>
    <w:p w14:paraId="6909CA2E">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十一</w:t>
      </w:r>
      <w:r>
        <w:rPr>
          <w:rFonts w:hint="default" w:ascii="仿宋" w:hAnsi="仿宋" w:eastAsia="仿宋" w:cs="仿宋"/>
          <w:sz w:val="24"/>
          <w:lang w:val="en-US" w:eastAsia="zh-CN"/>
        </w:rPr>
        <w:t>、争议解除</w:t>
      </w:r>
    </w:p>
    <w:p w14:paraId="7F0D0FF9">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双方在执行合同中所发生的一切争议，应通过协商解决。如协商不成，任意一方有权向甲方所在地的人民法院起诉。</w:t>
      </w:r>
    </w:p>
    <w:p w14:paraId="3190F249">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十</w:t>
      </w:r>
      <w:r>
        <w:rPr>
          <w:rFonts w:hint="eastAsia" w:ascii="仿宋" w:hAnsi="仿宋" w:eastAsia="仿宋" w:cs="仿宋"/>
          <w:sz w:val="24"/>
          <w:lang w:val="en-US" w:eastAsia="zh-CN"/>
        </w:rPr>
        <w:t>二</w:t>
      </w:r>
      <w:r>
        <w:rPr>
          <w:rFonts w:hint="default" w:ascii="仿宋" w:hAnsi="仿宋" w:eastAsia="仿宋" w:cs="仿宋"/>
          <w:sz w:val="24"/>
          <w:lang w:val="en-US" w:eastAsia="zh-CN"/>
        </w:rPr>
        <w:t>、合同生效及其他</w:t>
      </w:r>
    </w:p>
    <w:p w14:paraId="168C2C52">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合同经双方签字并加盖公章后生效。本合同一式四份，甲方、乙方各二份，具有同等法律效力。</w:t>
      </w:r>
    </w:p>
    <w:p w14:paraId="69510C29">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（本页以下无正文）</w:t>
      </w:r>
    </w:p>
    <w:p w14:paraId="008D47D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4DAD3F47">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A65932B">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24F6CB74">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B4DED1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0BDB907D">
      <w:pPr>
        <w:pStyle w:val="2"/>
        <w:rPr>
          <w:rFonts w:hint="eastAsia"/>
          <w:lang w:val="zh-CN" w:eastAsia="zh-CN"/>
        </w:rPr>
      </w:pPr>
    </w:p>
    <w:p w14:paraId="6E04E93D">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258E466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甲方：陕西中医药大学第二附属医院    乙方：</w:t>
      </w:r>
      <w:r>
        <w:rPr>
          <w:rFonts w:hint="eastAsia" w:ascii="黑体" w:hAnsi="黑体" w:eastAsia="黑体" w:cs="黑体"/>
          <w:b w:val="0"/>
          <w:bCs w:val="0"/>
          <w:sz w:val="24"/>
          <w:highlight w:val="none"/>
          <w:lang w:val="en-US" w:eastAsia="zh-CN" w:bidi="ar-SA"/>
        </w:rPr>
        <w:t xml:space="preserve"> </w:t>
      </w:r>
    </w:p>
    <w:p w14:paraId="36473E66">
      <w:pPr>
        <w:shd w:val="clear" w:color="auto" w:fill="FFFFFF"/>
        <w:adjustRightInd w:val="0"/>
        <w:spacing w:line="520" w:lineRule="exact"/>
        <w:jc w:val="left"/>
        <w:rPr>
          <w:rFonts w:hint="eastAsia" w:ascii="宋体" w:eastAsia="宋体" w:cs="宋体"/>
          <w:b w:val="0"/>
          <w:bCs w:val="0"/>
          <w:color w:val="000000"/>
          <w:sz w:val="24"/>
          <w:highlight w:val="none"/>
          <w:lang w:val="zh-CN" w:eastAsia="zh-CN" w:bidi="ar-SA"/>
        </w:rPr>
      </w:pPr>
    </w:p>
    <w:p w14:paraId="2966901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法定代表人（签盖）：                 法定代表人（签盖）：</w:t>
      </w:r>
    </w:p>
    <w:p w14:paraId="40F0A9A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C56779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 xml:space="preserve">授权委托人：                        </w:t>
      </w:r>
      <w:r>
        <w:rPr>
          <w:rFonts w:hint="eastAsia" w:ascii="黑体" w:hAnsi="黑体" w:eastAsia="黑体" w:cs="黑体"/>
          <w:b w:val="0"/>
          <w:bCs w:val="0"/>
          <w:color w:val="000000"/>
          <w:sz w:val="24"/>
          <w:highlight w:val="none"/>
          <w:lang w:val="en-US" w:eastAsia="zh-CN" w:bidi="ar-SA"/>
        </w:rPr>
        <w:t xml:space="preserve"> </w:t>
      </w:r>
      <w:r>
        <w:rPr>
          <w:rFonts w:hint="eastAsia" w:ascii="黑体" w:hAnsi="黑体" w:eastAsia="黑体" w:cs="黑体"/>
          <w:b w:val="0"/>
          <w:bCs w:val="0"/>
          <w:color w:val="000000"/>
          <w:sz w:val="24"/>
          <w:highlight w:val="none"/>
          <w:lang w:val="zh-CN" w:eastAsia="zh-CN" w:bidi="ar-SA"/>
        </w:rPr>
        <w:t>授权委托人：</w:t>
      </w:r>
    </w:p>
    <w:p w14:paraId="00EE63B7">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B102BD1">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经办人：</w:t>
      </w:r>
    </w:p>
    <w:p w14:paraId="3703E54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05FC6DE">
      <w:pPr>
        <w:shd w:val="clear" w:color="auto" w:fill="FFFFFF"/>
        <w:adjustRightInd w:val="0"/>
        <w:spacing w:line="520" w:lineRule="exact"/>
        <w:ind w:firstLine="480" w:firstLineChars="200"/>
        <w:jc w:val="left"/>
        <w:rPr>
          <w:b w:val="0"/>
          <w:bCs w:val="0"/>
        </w:rPr>
      </w:pPr>
      <w:r>
        <w:rPr>
          <w:rFonts w:hint="eastAsia" w:ascii="黑体" w:hAnsi="黑体" w:eastAsia="黑体" w:cs="黑体"/>
          <w:b w:val="0"/>
          <w:bCs w:val="0"/>
          <w:color w:val="000000"/>
          <w:sz w:val="24"/>
          <w:highlight w:val="none"/>
          <w:lang w:val="zh-CN" w:eastAsia="zh-CN" w:bidi="ar-SA"/>
        </w:rPr>
        <w:t>年     月     日                          年     月     日</w:t>
      </w:r>
    </w:p>
    <w:p w14:paraId="5D523788">
      <w:pPr>
        <w:pStyle w:val="2"/>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新增造价咨询服务项目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4"/>
        <w:rPr>
          <w:rStyle w:val="33"/>
          <w:rFonts w:hint="eastAsia" w:ascii="宋体" w:hAnsi="宋体" w:eastAsia="宋体" w:cs="宋体"/>
          <w:color w:val="000000"/>
          <w:kern w:val="0"/>
          <w:sz w:val="24"/>
          <w:szCs w:val="24"/>
          <w:highlight w:val="none"/>
        </w:rPr>
      </w:pPr>
    </w:p>
    <w:p w14:paraId="51344870">
      <w:pPr>
        <w:pStyle w:val="14"/>
        <w:rPr>
          <w:rStyle w:val="33"/>
          <w:rFonts w:hint="eastAsia" w:ascii="宋体" w:hAnsi="宋体" w:eastAsia="宋体" w:cs="宋体"/>
          <w:color w:val="000000"/>
          <w:kern w:val="0"/>
          <w:sz w:val="24"/>
          <w:szCs w:val="24"/>
          <w:highlight w:val="none"/>
        </w:rPr>
      </w:pPr>
    </w:p>
    <w:p w14:paraId="613E0ACE">
      <w:pPr>
        <w:pStyle w:val="14"/>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新增造价咨询服务项目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SZRFYZB202503-075</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3187105"/>
      <w:bookmarkStart w:id="9" w:name="_Toc193126889"/>
      <w:bookmarkStart w:id="10" w:name="_Toc188808840"/>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合同为固定</w:t>
      </w:r>
      <w:r>
        <w:rPr>
          <w:rFonts w:hint="eastAsia" w:ascii="宋体" w:hAnsi="宋体" w:eastAsia="宋体" w:cs="宋体"/>
          <w:color w:val="000000"/>
          <w:sz w:val="24"/>
          <w:szCs w:val="24"/>
          <w:lang w:val="en-US" w:eastAsia="zh-CN"/>
        </w:rPr>
        <w:t>价格</w:t>
      </w:r>
      <w:r>
        <w:rPr>
          <w:rFonts w:hint="eastAsia" w:ascii="宋体" w:hAnsi="宋体" w:eastAsia="宋体" w:cs="宋体"/>
          <w:color w:val="000000"/>
          <w:sz w:val="24"/>
          <w:szCs w:val="24"/>
        </w:rPr>
        <w:t>合同，不受市场价变化的影响。</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b/>
          <w:snapToGrid w:val="0"/>
          <w:kern w:val="0"/>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r>
        <w:rPr>
          <w:rFonts w:hint="eastAsia" w:ascii="宋体" w:hAnsi="宋体" w:eastAsia="宋体" w:cs="宋体"/>
          <w:b/>
          <w:snapToGrid w:val="0"/>
          <w:kern w:val="0"/>
          <w:sz w:val="24"/>
          <w:szCs w:val="24"/>
          <w:highlight w:val="none"/>
        </w:rPr>
        <w:t xml:space="preserve"> </w:t>
      </w:r>
    </w:p>
    <w:tbl>
      <w:tblPr>
        <w:tblStyle w:val="2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06"/>
        <w:gridCol w:w="826"/>
        <w:gridCol w:w="826"/>
        <w:gridCol w:w="826"/>
        <w:gridCol w:w="826"/>
        <w:gridCol w:w="946"/>
        <w:gridCol w:w="1066"/>
        <w:gridCol w:w="1066"/>
        <w:gridCol w:w="706"/>
      </w:tblGrid>
      <w:tr w14:paraId="7DA6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6" w:type="dxa"/>
            <w:noWrap w:val="0"/>
            <w:vAlign w:val="center"/>
          </w:tcPr>
          <w:p w14:paraId="0D92D80F">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计费基数（万元）</w:t>
            </w:r>
          </w:p>
        </w:tc>
        <w:tc>
          <w:tcPr>
            <w:tcW w:w="706" w:type="dxa"/>
            <w:noWrap w:val="0"/>
            <w:vAlign w:val="center"/>
          </w:tcPr>
          <w:p w14:paraId="492F413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5~10</w:t>
            </w:r>
          </w:p>
        </w:tc>
        <w:tc>
          <w:tcPr>
            <w:tcW w:w="826" w:type="dxa"/>
            <w:noWrap w:val="0"/>
            <w:vAlign w:val="center"/>
          </w:tcPr>
          <w:p w14:paraId="02BE685E">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10~20</w:t>
            </w:r>
          </w:p>
        </w:tc>
        <w:tc>
          <w:tcPr>
            <w:tcW w:w="826" w:type="dxa"/>
            <w:noWrap w:val="0"/>
            <w:vAlign w:val="center"/>
          </w:tcPr>
          <w:p w14:paraId="2F4E602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20~30</w:t>
            </w:r>
          </w:p>
        </w:tc>
        <w:tc>
          <w:tcPr>
            <w:tcW w:w="826" w:type="dxa"/>
            <w:noWrap w:val="0"/>
            <w:vAlign w:val="center"/>
          </w:tcPr>
          <w:p w14:paraId="3E89C34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30~50</w:t>
            </w:r>
          </w:p>
        </w:tc>
        <w:tc>
          <w:tcPr>
            <w:tcW w:w="826" w:type="dxa"/>
            <w:noWrap w:val="0"/>
            <w:vAlign w:val="center"/>
          </w:tcPr>
          <w:p w14:paraId="162F06E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50~80</w:t>
            </w:r>
          </w:p>
        </w:tc>
        <w:tc>
          <w:tcPr>
            <w:tcW w:w="946" w:type="dxa"/>
            <w:noWrap w:val="0"/>
            <w:vAlign w:val="center"/>
          </w:tcPr>
          <w:p w14:paraId="379F4FAE">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80~120</w:t>
            </w:r>
          </w:p>
        </w:tc>
        <w:tc>
          <w:tcPr>
            <w:tcW w:w="1066" w:type="dxa"/>
            <w:noWrap w:val="0"/>
            <w:vAlign w:val="center"/>
          </w:tcPr>
          <w:p w14:paraId="6C9BAE41">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120~200</w:t>
            </w:r>
          </w:p>
        </w:tc>
        <w:tc>
          <w:tcPr>
            <w:tcW w:w="1066" w:type="dxa"/>
            <w:noWrap w:val="0"/>
            <w:vAlign w:val="center"/>
          </w:tcPr>
          <w:p w14:paraId="19403898">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200~300</w:t>
            </w:r>
          </w:p>
        </w:tc>
        <w:tc>
          <w:tcPr>
            <w:tcW w:w="706" w:type="dxa"/>
            <w:noWrap w:val="0"/>
            <w:vAlign w:val="center"/>
          </w:tcPr>
          <w:p w14:paraId="5EC16ED0">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300~</w:t>
            </w:r>
          </w:p>
        </w:tc>
      </w:tr>
      <w:tr w14:paraId="32C8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36" w:type="dxa"/>
            <w:noWrap w:val="0"/>
            <w:vAlign w:val="center"/>
          </w:tcPr>
          <w:p w14:paraId="5B797DB3">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收费标准（元）</w:t>
            </w:r>
          </w:p>
        </w:tc>
        <w:tc>
          <w:tcPr>
            <w:tcW w:w="706" w:type="dxa"/>
            <w:noWrap w:val="0"/>
            <w:vAlign w:val="center"/>
          </w:tcPr>
          <w:p w14:paraId="5694F65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22C3D7E8">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1D4DF5A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450D0187">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54544194">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946" w:type="dxa"/>
            <w:noWrap w:val="0"/>
            <w:vAlign w:val="center"/>
          </w:tcPr>
          <w:p w14:paraId="360E58C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1066" w:type="dxa"/>
            <w:noWrap w:val="0"/>
            <w:vAlign w:val="center"/>
          </w:tcPr>
          <w:p w14:paraId="025BFEB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1066" w:type="dxa"/>
            <w:noWrap w:val="0"/>
            <w:vAlign w:val="center"/>
          </w:tcPr>
          <w:p w14:paraId="2AFDE51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706" w:type="dxa"/>
            <w:noWrap w:val="0"/>
            <w:vAlign w:val="center"/>
          </w:tcPr>
          <w:p w14:paraId="06D5157A">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r>
      <w:tr w14:paraId="286D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742" w:type="dxa"/>
            <w:gridSpan w:val="2"/>
            <w:noWrap w:val="0"/>
            <w:vAlign w:val="center"/>
          </w:tcPr>
          <w:p w14:paraId="2DB51CD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sz w:val="24"/>
                <w:szCs w:val="24"/>
                <w:lang w:eastAsia="zh-CN"/>
              </w:rPr>
              <w:t>磋商</w:t>
            </w:r>
            <w:r>
              <w:rPr>
                <w:rFonts w:hint="eastAsia"/>
                <w:sz w:val="24"/>
                <w:szCs w:val="24"/>
              </w:rPr>
              <w:t>总报价</w:t>
            </w:r>
          </w:p>
        </w:tc>
        <w:tc>
          <w:tcPr>
            <w:tcW w:w="7088" w:type="dxa"/>
            <w:gridSpan w:val="8"/>
            <w:noWrap w:val="0"/>
            <w:vAlign w:val="center"/>
          </w:tcPr>
          <w:p w14:paraId="546481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sz w:val="24"/>
                <w:szCs w:val="24"/>
              </w:rPr>
              <w:t xml:space="preserve">大写：   </w:t>
            </w:r>
            <w:r>
              <w:rPr>
                <w:rFonts w:hint="eastAsia"/>
                <w:sz w:val="24"/>
                <w:szCs w:val="24"/>
              </w:rPr>
              <w:t xml:space="preserve">                        </w:t>
            </w:r>
            <w:r>
              <w:rPr>
                <w:sz w:val="24"/>
                <w:szCs w:val="24"/>
              </w:rPr>
              <w:t>小写：</w:t>
            </w:r>
          </w:p>
        </w:tc>
      </w:tr>
      <w:tr w14:paraId="036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742" w:type="dxa"/>
            <w:gridSpan w:val="2"/>
            <w:noWrap w:val="0"/>
            <w:vAlign w:val="center"/>
          </w:tcPr>
          <w:p w14:paraId="00FB46A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sz w:val="24"/>
                <w:szCs w:val="24"/>
              </w:rPr>
              <w:t>备注</w:t>
            </w:r>
          </w:p>
        </w:tc>
        <w:tc>
          <w:tcPr>
            <w:tcW w:w="7088" w:type="dxa"/>
            <w:gridSpan w:val="8"/>
            <w:noWrap w:val="0"/>
            <w:vAlign w:val="center"/>
          </w:tcPr>
          <w:p w14:paraId="4195CCA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val="en-US" w:eastAsia="zh-CN"/>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3187103"/>
      <w:bookmarkStart w:id="14" w:name="_Toc188808838"/>
      <w:bookmarkStart w:id="15" w:name="_Toc194663924"/>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49019497"/>
      <w:bookmarkStart w:id="18" w:name="_Toc48791235"/>
      <w:bookmarkStart w:id="19" w:name="_Toc194663925"/>
      <w:bookmarkStart w:id="20" w:name="_Toc193187104"/>
      <w:bookmarkStart w:id="21" w:name="_Toc48995851"/>
      <w:bookmarkStart w:id="22" w:name="_Toc47262069"/>
      <w:bookmarkStart w:id="23" w:name="_Toc47418731"/>
      <w:bookmarkStart w:id="24" w:name="_Toc47418938"/>
      <w:bookmarkStart w:id="25" w:name="_Toc47261885"/>
      <w:bookmarkStart w:id="26" w:name="_Toc49019236"/>
      <w:bookmarkStart w:id="27" w:name="_Toc193126888"/>
      <w:bookmarkStart w:id="28" w:name="_Toc47418255"/>
      <w:bookmarkStart w:id="29" w:name="_Toc47261690"/>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8"/>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5591"/>
      <w:bookmarkStart w:id="31" w:name="_Toc12408"/>
      <w:bookmarkStart w:id="32" w:name="_Toc18044"/>
      <w:bookmarkStart w:id="33" w:name="_Toc19326"/>
      <w:bookmarkStart w:id="34" w:name="_Toc13312"/>
      <w:bookmarkStart w:id="35" w:name="_Toc1748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26876"/>
      <w:bookmarkStart w:id="39" w:name="_Toc7264"/>
      <w:bookmarkStart w:id="40" w:name="_Toc5624"/>
      <w:bookmarkStart w:id="41" w:name="_Toc724"/>
      <w:bookmarkStart w:id="42" w:name="_Toc2556"/>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23408"/>
      <w:bookmarkStart w:id="46" w:name="_Toc3854"/>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15773"/>
      <w:bookmarkStart w:id="49" w:name="_Toc12264"/>
      <w:bookmarkStart w:id="50" w:name="_Toc13090"/>
      <w:bookmarkStart w:id="51" w:name="_Toc12007"/>
      <w:bookmarkStart w:id="52" w:name="_Toc23076"/>
      <w:bookmarkStart w:id="53" w:name="_Toc2598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11275"/>
      <w:bookmarkStart w:id="56" w:name="_Toc15131"/>
      <w:bookmarkStart w:id="57" w:name="_Toc10651"/>
      <w:bookmarkStart w:id="58" w:name="_Toc952"/>
      <w:bookmarkStart w:id="59" w:name="_Toc26760"/>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4"/>
        <w:rPr>
          <w:rFonts w:hint="eastAsia" w:ascii="宋体" w:hAnsi="宋体" w:eastAsia="宋体" w:cs="宋体"/>
          <w:bCs/>
          <w:sz w:val="24"/>
          <w:szCs w:val="24"/>
          <w:highlight w:val="none"/>
        </w:rPr>
      </w:pPr>
    </w:p>
    <w:p w14:paraId="433D1B63">
      <w:pPr>
        <w:pStyle w:val="14"/>
        <w:rPr>
          <w:rFonts w:hint="eastAsia" w:ascii="宋体" w:hAnsi="宋体" w:eastAsia="宋体" w:cs="宋体"/>
          <w:bCs/>
          <w:sz w:val="24"/>
          <w:szCs w:val="24"/>
          <w:highlight w:val="none"/>
        </w:rPr>
      </w:pPr>
    </w:p>
    <w:p w14:paraId="6BED52A7">
      <w:pPr>
        <w:pStyle w:val="14"/>
        <w:rPr>
          <w:rFonts w:hint="eastAsia" w:ascii="宋体" w:hAnsi="宋体" w:eastAsia="宋体" w:cs="宋体"/>
          <w:bCs/>
          <w:sz w:val="24"/>
          <w:szCs w:val="24"/>
          <w:highlight w:val="none"/>
        </w:rPr>
      </w:pPr>
    </w:p>
    <w:p w14:paraId="49685341">
      <w:pPr>
        <w:pStyle w:val="14"/>
        <w:rPr>
          <w:rFonts w:hint="eastAsia" w:ascii="宋体" w:hAnsi="宋体" w:eastAsia="宋体" w:cs="宋体"/>
          <w:bCs/>
          <w:sz w:val="24"/>
          <w:szCs w:val="24"/>
          <w:highlight w:val="none"/>
        </w:rPr>
      </w:pPr>
    </w:p>
    <w:p w14:paraId="4AAB3078">
      <w:pPr>
        <w:pStyle w:val="14"/>
        <w:rPr>
          <w:rFonts w:hint="eastAsia" w:ascii="宋体" w:hAnsi="宋体" w:eastAsia="宋体" w:cs="宋体"/>
          <w:bCs/>
          <w:sz w:val="24"/>
          <w:szCs w:val="24"/>
          <w:highlight w:val="none"/>
        </w:rPr>
      </w:pPr>
    </w:p>
    <w:p w14:paraId="488F776D">
      <w:pPr>
        <w:pStyle w:val="14"/>
        <w:rPr>
          <w:rFonts w:hint="eastAsia" w:ascii="宋体" w:hAnsi="宋体" w:eastAsia="宋体" w:cs="宋体"/>
          <w:bCs/>
          <w:sz w:val="24"/>
          <w:szCs w:val="24"/>
          <w:highlight w:val="none"/>
        </w:rPr>
      </w:pPr>
    </w:p>
    <w:p w14:paraId="5FF86B6A">
      <w:pPr>
        <w:pStyle w:val="14"/>
        <w:rPr>
          <w:rFonts w:hint="eastAsia" w:ascii="宋体" w:hAnsi="宋体" w:eastAsia="宋体" w:cs="宋体"/>
          <w:bCs/>
          <w:sz w:val="24"/>
          <w:szCs w:val="24"/>
          <w:highlight w:val="none"/>
        </w:rPr>
      </w:pPr>
    </w:p>
    <w:p w14:paraId="0B49CE8E">
      <w:pPr>
        <w:pStyle w:val="14"/>
        <w:rPr>
          <w:rFonts w:hint="eastAsia" w:ascii="宋体" w:hAnsi="宋体" w:eastAsia="宋体" w:cs="宋体"/>
          <w:bCs/>
          <w:sz w:val="24"/>
          <w:szCs w:val="24"/>
          <w:highlight w:val="none"/>
        </w:rPr>
      </w:pPr>
    </w:p>
    <w:p w14:paraId="43150D73">
      <w:pPr>
        <w:pStyle w:val="14"/>
        <w:rPr>
          <w:rFonts w:hint="eastAsia" w:ascii="宋体" w:hAnsi="宋体" w:eastAsia="宋体" w:cs="宋体"/>
          <w:bCs/>
          <w:sz w:val="24"/>
          <w:szCs w:val="24"/>
          <w:highlight w:val="none"/>
        </w:rPr>
      </w:pPr>
    </w:p>
    <w:p w14:paraId="730EB4FB">
      <w:pPr>
        <w:pStyle w:val="14"/>
        <w:rPr>
          <w:rFonts w:hint="eastAsia" w:ascii="宋体" w:hAnsi="宋体" w:eastAsia="宋体" w:cs="宋体"/>
          <w:bCs/>
          <w:sz w:val="24"/>
          <w:szCs w:val="24"/>
          <w:highlight w:val="none"/>
        </w:rPr>
      </w:pPr>
    </w:p>
    <w:p w14:paraId="1BCDDCE6">
      <w:pPr>
        <w:pStyle w:val="14"/>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新增造价咨询服务项目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4"/>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4"/>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新增造价咨询服务项目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2523895"/>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8671BB"/>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AF457E"/>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E5C32AC"/>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1E39C6"/>
    <w:rsid w:val="772C7E4F"/>
    <w:rsid w:val="774429A8"/>
    <w:rsid w:val="78053C6A"/>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2"/>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14"/>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31</Pages>
  <Words>8357</Words>
  <Characters>8831</Characters>
  <Paragraphs>503</Paragraphs>
  <TotalTime>1</TotalTime>
  <ScaleCrop>false</ScaleCrop>
  <LinksUpToDate>false</LinksUpToDate>
  <CharactersWithSpaces>10180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2025-04-17T06:31:38Z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EBB48731E63C4BB299B3D41554BC4BAF_13</vt:lpwstr>
  </property>
  <property fmtid="{D5CDD505-2E9C-101B-9397-08002B2CF9AE}" pid="4" name="KSOTemplateDocerSaveRecord">
    <vt:lpwstr>eyJoZGlkIjoiNDlhNTk3M2EwMWRjYjU0YWZlOWE2NGFkMGM1MzI3OGEiLCJ1c2VySWQiOiIxMDE0MjEyNzExIn0=</vt:lpwstr>
  </property>
</Properties>
</file>